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6EAE4FFD" w:rsidR="00960B44" w:rsidRPr="003A32C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rPr>
      </w:pPr>
      <w:r w:rsidRPr="003A32C1">
        <w:rPr>
          <w:rFonts w:ascii="Times New Roman" w:eastAsia="SimSun" w:hAnsi="Times New Roman" w:cs="Times New Roman"/>
          <w:b/>
          <w:noProof/>
          <w:sz w:val="24"/>
          <w:szCs w:val="20"/>
          <w:lang w:eastAsia="zh-CN"/>
        </w:rPr>
        <w:t>3GPP TSG-RA</w:t>
      </w:r>
      <w:r w:rsidR="00E73984" w:rsidRPr="003A32C1">
        <w:rPr>
          <w:rFonts w:ascii="Times New Roman" w:eastAsia="SimSun" w:hAnsi="Times New Roman" w:cs="Times New Roman"/>
          <w:b/>
          <w:noProof/>
          <w:sz w:val="24"/>
          <w:szCs w:val="20"/>
          <w:lang w:eastAsia="zh-CN"/>
        </w:rPr>
        <w:t>N</w:t>
      </w:r>
      <w:r w:rsidR="00EC7CC3" w:rsidRPr="003A32C1">
        <w:rPr>
          <w:rFonts w:ascii="Times New Roman" w:eastAsia="SimSun" w:hAnsi="Times New Roman" w:cs="Times New Roman"/>
          <w:b/>
          <w:noProof/>
          <w:sz w:val="24"/>
          <w:szCs w:val="20"/>
          <w:lang w:eastAsia="zh-CN"/>
        </w:rPr>
        <w:t>2</w:t>
      </w:r>
      <w:r w:rsidR="00E73984" w:rsidRPr="003A32C1">
        <w:rPr>
          <w:rFonts w:ascii="Times New Roman" w:eastAsia="SimSun" w:hAnsi="Times New Roman" w:cs="Times New Roman"/>
          <w:b/>
          <w:noProof/>
          <w:sz w:val="24"/>
          <w:szCs w:val="20"/>
          <w:lang w:eastAsia="zh-CN"/>
        </w:rPr>
        <w:t>#1</w:t>
      </w:r>
      <w:r w:rsidR="003A32C1" w:rsidRPr="003A32C1">
        <w:rPr>
          <w:rFonts w:ascii="Times New Roman" w:eastAsia="SimSun" w:hAnsi="Times New Roman" w:cs="Times New Roman"/>
          <w:b/>
          <w:noProof/>
          <w:sz w:val="24"/>
          <w:szCs w:val="20"/>
          <w:lang w:eastAsia="zh-CN"/>
        </w:rPr>
        <w:t>2</w:t>
      </w:r>
      <w:r w:rsidR="002406A8">
        <w:rPr>
          <w:rFonts w:ascii="Times New Roman" w:eastAsia="SimSun" w:hAnsi="Times New Roman" w:cs="Times New Roman"/>
          <w:b/>
          <w:noProof/>
          <w:sz w:val="24"/>
          <w:szCs w:val="20"/>
          <w:lang w:eastAsia="zh-CN"/>
        </w:rPr>
        <w:t>1</w:t>
      </w:r>
      <w:r w:rsidRPr="003A32C1">
        <w:rPr>
          <w:rFonts w:ascii="Times New Roman" w:eastAsia="SimSun" w:hAnsi="Times New Roman" w:cs="Times New Roman"/>
          <w:b/>
          <w:noProof/>
          <w:sz w:val="24"/>
          <w:szCs w:val="20"/>
          <w:lang w:eastAsia="zh-CN"/>
        </w:rPr>
        <w:tab/>
      </w:r>
      <w:r w:rsidR="00A948BC" w:rsidRPr="003A32C1">
        <w:rPr>
          <w:rFonts w:ascii="Times New Roman" w:eastAsia="SimSun" w:hAnsi="Times New Roman" w:cs="Times New Roman"/>
          <w:b/>
          <w:noProof/>
          <w:sz w:val="24"/>
          <w:szCs w:val="20"/>
          <w:lang w:eastAsia="zh-CN"/>
        </w:rPr>
        <w:t>R2-</w:t>
      </w:r>
      <w:r w:rsidR="005E4124" w:rsidRPr="005E4124">
        <w:rPr>
          <w:rFonts w:ascii="Times New Roman" w:eastAsia="SimSun" w:hAnsi="Times New Roman" w:cs="Times New Roman"/>
          <w:b/>
          <w:noProof/>
          <w:sz w:val="24"/>
          <w:szCs w:val="20"/>
          <w:lang w:eastAsia="zh-CN"/>
        </w:rPr>
        <w:t>2300221</w:t>
      </w:r>
    </w:p>
    <w:p w14:paraId="6D7FEBCE" w14:textId="12D0542E" w:rsidR="00960B44" w:rsidRPr="007022BC" w:rsidRDefault="00B37A3A"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sidRPr="00083AA6">
        <w:rPr>
          <w:rFonts w:ascii="Times New Roman" w:eastAsia="SimSun" w:hAnsi="Times New Roman"/>
          <w:b/>
          <w:noProof/>
          <w:sz w:val="24"/>
          <w:szCs w:val="20"/>
          <w:lang w:eastAsia="zh-CN"/>
        </w:rPr>
        <w:t>Athens, Greece, February-March</w:t>
      </w:r>
      <w:r w:rsidR="003A32C1">
        <w:rPr>
          <w:rFonts w:ascii="Times New Roman" w:eastAsia="SimSun" w:hAnsi="Times New Roman" w:cs="Times New Roman"/>
          <w:b/>
          <w:bCs/>
          <w:noProof/>
          <w:sz w:val="24"/>
          <w:szCs w:val="20"/>
        </w:rPr>
        <w:t xml:space="preserve">, </w:t>
      </w:r>
      <w:r w:rsidR="00960B44" w:rsidRPr="007022BC">
        <w:rPr>
          <w:rFonts w:ascii="Times New Roman" w:eastAsia="SimSun" w:hAnsi="Times New Roman" w:cs="Times New Roman"/>
          <w:b/>
          <w:bCs/>
          <w:noProof/>
          <w:sz w:val="24"/>
          <w:szCs w:val="20"/>
        </w:rPr>
        <w:t>202</w:t>
      </w:r>
      <w:r>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19CA57F2"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AF6119">
        <w:rPr>
          <w:rFonts w:ascii="Times New Roman" w:eastAsia="SimSun" w:hAnsi="Times New Roman" w:cs="Times New Roman"/>
          <w:b/>
          <w:bCs/>
          <w:kern w:val="2"/>
          <w:sz w:val="24"/>
          <w:lang w:eastAsia="zh-CN"/>
        </w:rPr>
        <w:t>8.4.2.</w:t>
      </w:r>
      <w:r w:rsidR="00E377FE">
        <w:rPr>
          <w:rFonts w:ascii="Times New Roman" w:eastAsia="SimSun" w:hAnsi="Times New Roman" w:cs="Times New Roman"/>
          <w:b/>
          <w:bCs/>
          <w:kern w:val="2"/>
          <w:sz w:val="24"/>
          <w:lang w:eastAsia="zh-CN"/>
        </w:rPr>
        <w:t>3</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5F9E79E3"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29662A">
        <w:rPr>
          <w:rFonts w:ascii="Times New Roman" w:eastAsia="SimSun" w:hAnsi="Times New Roman" w:cs="Times New Roman"/>
          <w:b/>
          <w:bCs/>
          <w:kern w:val="2"/>
          <w:sz w:val="24"/>
          <w:lang w:eastAsia="zh-CN"/>
        </w:rPr>
        <w:t xml:space="preserve">Details of </w:t>
      </w:r>
      <w:r w:rsidR="00AF6119">
        <w:rPr>
          <w:rFonts w:ascii="Times New Roman" w:eastAsia="SimSun" w:hAnsi="Times New Roman" w:cs="Times New Roman"/>
          <w:b/>
          <w:bCs/>
          <w:kern w:val="2"/>
          <w:sz w:val="24"/>
          <w:lang w:eastAsia="zh-CN"/>
        </w:rPr>
        <w:t>Early TA work</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7C66E589" w14:textId="07931A48" w:rsidR="0084005A" w:rsidRPr="00A7299E" w:rsidRDefault="0084005A" w:rsidP="00F31E3E">
      <w:pPr>
        <w:rPr>
          <w:rFonts w:ascii="Garamond" w:hAnsi="Garamond"/>
          <w:sz w:val="20"/>
          <w:szCs w:val="20"/>
        </w:rPr>
      </w:pPr>
      <w:bookmarkStart w:id="2" w:name="Proposal_Beacon"/>
      <w:r w:rsidRPr="00A7299E">
        <w:rPr>
          <w:rFonts w:ascii="Garamond" w:hAnsi="Garamond"/>
          <w:sz w:val="20"/>
          <w:szCs w:val="20"/>
        </w:rPr>
        <w:t xml:space="preserve">Early TA acquisition is a cornerstone for saving latency in the lower layer based mobility work. This paper goes in the details of Early TA </w:t>
      </w:r>
      <w:r w:rsidR="00E1255F" w:rsidRPr="00A7299E">
        <w:rPr>
          <w:rFonts w:ascii="Garamond" w:hAnsi="Garamond"/>
          <w:sz w:val="20"/>
          <w:szCs w:val="20"/>
        </w:rPr>
        <w:t>acquisition procedure</w:t>
      </w:r>
      <w:r w:rsidRPr="00A7299E">
        <w:rPr>
          <w:rFonts w:ascii="Garamond" w:hAnsi="Garamond"/>
          <w:sz w:val="20"/>
          <w:szCs w:val="20"/>
        </w:rPr>
        <w:t xml:space="preserve"> and builds on </w:t>
      </w:r>
      <w:r w:rsidR="00F31E3E" w:rsidRPr="00A7299E">
        <w:rPr>
          <w:rFonts w:ascii="Garamond" w:hAnsi="Garamond"/>
          <w:sz w:val="20"/>
          <w:szCs w:val="20"/>
        </w:rPr>
        <w:t xml:space="preserve">both RAN1 and RAN2 progress </w:t>
      </w:r>
      <w:r w:rsidRPr="00A7299E">
        <w:rPr>
          <w:rFonts w:ascii="Garamond" w:hAnsi="Garamond"/>
          <w:sz w:val="20"/>
          <w:szCs w:val="20"/>
        </w:rPr>
        <w:t>from the last meeting</w:t>
      </w:r>
      <w:r w:rsidR="00F31E3E" w:rsidRPr="00A7299E">
        <w:rPr>
          <w:rFonts w:ascii="Garamond" w:hAnsi="Garamond"/>
          <w:sz w:val="20"/>
          <w:szCs w:val="20"/>
        </w:rPr>
        <w:t xml:space="preserve">. </w:t>
      </w:r>
    </w:p>
    <w:p w14:paraId="6107D99C" w14:textId="3B95C9AE" w:rsidR="00F31E3E" w:rsidRPr="00A7299E" w:rsidRDefault="00F31E3E" w:rsidP="00F31E3E">
      <w:pPr>
        <w:rPr>
          <w:rFonts w:ascii="Garamond" w:hAnsi="Garamond"/>
          <w:sz w:val="20"/>
          <w:szCs w:val="20"/>
        </w:rPr>
      </w:pPr>
      <w:r w:rsidRPr="00A7299E">
        <w:rPr>
          <w:rFonts w:ascii="Garamond" w:hAnsi="Garamond"/>
          <w:sz w:val="20"/>
          <w:szCs w:val="20"/>
        </w:rPr>
        <w:t>Following agreements were reached in RAN1#111:</w:t>
      </w:r>
    </w:p>
    <w:tbl>
      <w:tblPr>
        <w:tblStyle w:val="TableGrid"/>
        <w:tblW w:w="0" w:type="auto"/>
        <w:tblLook w:val="04A0" w:firstRow="1" w:lastRow="0" w:firstColumn="1" w:lastColumn="0" w:noHBand="0" w:noVBand="1"/>
      </w:tblPr>
      <w:tblGrid>
        <w:gridCol w:w="9350"/>
      </w:tblGrid>
      <w:tr w:rsidR="00F31E3E" w:rsidRPr="003A5C3F" w14:paraId="11BCB1B4" w14:textId="77777777" w:rsidTr="0041160D">
        <w:tc>
          <w:tcPr>
            <w:tcW w:w="9350" w:type="dxa"/>
          </w:tcPr>
          <w:p w14:paraId="6FD673F8" w14:textId="77777777" w:rsidR="00F31E3E" w:rsidRPr="003A5C3F" w:rsidRDefault="00F31E3E" w:rsidP="0041160D">
            <w:pPr>
              <w:shd w:val="clear" w:color="auto" w:fill="FFFFFF"/>
              <w:spacing w:line="330" w:lineRule="atLeast"/>
              <w:rPr>
                <w:rFonts w:ascii="Times New Roman" w:eastAsia="SimSun" w:hAnsi="Times New Roman" w:cs="Times New Roman"/>
                <w:i/>
                <w:iCs/>
                <w:color w:val="000000"/>
                <w:sz w:val="18"/>
                <w:szCs w:val="18"/>
                <w:lang w:eastAsia="zh-CN"/>
              </w:rPr>
            </w:pPr>
            <w:r w:rsidRPr="000E2B18">
              <w:rPr>
                <w:rFonts w:ascii="Times New Roman" w:hAnsi="Times New Roman" w:cs="Times New Roman"/>
                <w:b/>
                <w:bCs/>
                <w:i/>
                <w:iCs/>
                <w:sz w:val="18"/>
                <w:szCs w:val="18"/>
                <w:lang w:eastAsia="x-none"/>
              </w:rPr>
              <w:t>Agreement</w:t>
            </w:r>
          </w:p>
          <w:p w14:paraId="112BE084" w14:textId="77777777" w:rsidR="00F31E3E" w:rsidRPr="003A5C3F" w:rsidRDefault="00F31E3E" w:rsidP="0041160D">
            <w:pPr>
              <w:shd w:val="clear" w:color="auto" w:fill="FFFFFF"/>
              <w:spacing w:line="330" w:lineRule="atLeast"/>
              <w:rPr>
                <w:rFonts w:ascii="Times New Roman" w:eastAsia="SimSun" w:hAnsi="Times New Roman" w:cs="Times New Roman"/>
                <w:i/>
                <w:iCs/>
                <w:color w:val="000000"/>
                <w:sz w:val="18"/>
                <w:szCs w:val="18"/>
                <w:lang w:eastAsia="zh-CN"/>
              </w:rPr>
            </w:pPr>
            <w:r w:rsidRPr="003A5C3F">
              <w:rPr>
                <w:rFonts w:ascii="Times New Roman" w:eastAsia="SimSun" w:hAnsi="Times New Roman" w:cs="Times New Roman"/>
                <w:i/>
                <w:iCs/>
                <w:color w:val="000000"/>
                <w:sz w:val="18"/>
                <w:szCs w:val="18"/>
                <w:lang w:eastAsia="zh-CN"/>
              </w:rPr>
              <w:t>On mechanism to acquire TA of the candidate cell(s) in Rel-18 LTM, at least support PDCCH ordered RACH.</w:t>
            </w:r>
          </w:p>
          <w:p w14:paraId="5B50DF53" w14:textId="77777777" w:rsidR="00F31E3E" w:rsidRPr="003A5C3F" w:rsidRDefault="00F31E3E" w:rsidP="0041160D">
            <w:pPr>
              <w:shd w:val="clear" w:color="auto" w:fill="FFFFFF"/>
              <w:spacing w:line="253" w:lineRule="atLeast"/>
              <w:ind w:left="840" w:hanging="420"/>
              <w:rPr>
                <w:rFonts w:ascii="Times New Roman" w:eastAsia="SimSun" w:hAnsi="Times New Roman" w:cs="Times New Roman"/>
                <w:i/>
                <w:iCs/>
                <w:color w:val="000000"/>
                <w:sz w:val="18"/>
                <w:szCs w:val="18"/>
                <w:lang w:eastAsia="zh-CN"/>
              </w:rPr>
            </w:pPr>
            <w:r w:rsidRPr="003A5C3F">
              <w:rPr>
                <w:rFonts w:ascii="Times New Roman" w:eastAsia="SimSun" w:hAnsi="Times New Roman" w:cs="Times New Roman"/>
                <w:i/>
                <w:iCs/>
                <w:color w:val="000000"/>
                <w:sz w:val="18"/>
                <w:szCs w:val="18"/>
                <w:lang w:eastAsia="zh-CN"/>
              </w:rPr>
              <w:t>Ÿ   The PDCCH order is only triggered by source cell</w:t>
            </w:r>
          </w:p>
          <w:p w14:paraId="489455E8" w14:textId="77777777" w:rsidR="00F31E3E" w:rsidRPr="003A5C3F" w:rsidRDefault="00F31E3E" w:rsidP="0041160D">
            <w:pPr>
              <w:shd w:val="clear" w:color="auto" w:fill="FFFFFF"/>
              <w:spacing w:line="253" w:lineRule="atLeast"/>
              <w:ind w:left="840" w:hanging="420"/>
              <w:rPr>
                <w:rFonts w:ascii="Times New Roman" w:eastAsia="SimSun" w:hAnsi="Times New Roman" w:cs="Times New Roman"/>
                <w:i/>
                <w:iCs/>
                <w:color w:val="000000"/>
                <w:sz w:val="18"/>
                <w:szCs w:val="18"/>
                <w:lang w:eastAsia="zh-CN"/>
              </w:rPr>
            </w:pPr>
            <w:r w:rsidRPr="003A5C3F">
              <w:rPr>
                <w:rFonts w:ascii="Times New Roman" w:eastAsia="SimSun" w:hAnsi="Times New Roman" w:cs="Times New Roman"/>
                <w:i/>
                <w:iCs/>
                <w:color w:val="000000"/>
                <w:sz w:val="18"/>
                <w:szCs w:val="18"/>
                <w:lang w:eastAsia="zh-CN"/>
              </w:rPr>
              <w:t>Ÿ   FFS: the details including content of DCI, RACH resource configuration, RAR transmission mechanism, etc.</w:t>
            </w:r>
          </w:p>
          <w:p w14:paraId="7DB08E8D" w14:textId="77777777" w:rsidR="00F31E3E" w:rsidRPr="003A5C3F" w:rsidRDefault="00F31E3E" w:rsidP="0041160D">
            <w:pPr>
              <w:shd w:val="clear" w:color="auto" w:fill="FFFFFF"/>
              <w:spacing w:after="160" w:line="253" w:lineRule="atLeast"/>
              <w:ind w:left="840" w:hanging="420"/>
              <w:rPr>
                <w:rFonts w:ascii="Times New Roman" w:eastAsia="SimSun" w:hAnsi="Times New Roman" w:cs="Times New Roman"/>
                <w:i/>
                <w:iCs/>
                <w:color w:val="000000"/>
                <w:sz w:val="18"/>
                <w:szCs w:val="18"/>
                <w:lang w:eastAsia="zh-CN"/>
              </w:rPr>
            </w:pPr>
            <w:r w:rsidRPr="003A5C3F">
              <w:rPr>
                <w:rFonts w:ascii="Times New Roman" w:eastAsia="SimSun" w:hAnsi="Times New Roman" w:cs="Times New Roman"/>
                <w:i/>
                <w:iCs/>
                <w:color w:val="000000"/>
                <w:sz w:val="18"/>
                <w:szCs w:val="18"/>
                <w:lang w:eastAsia="zh-CN"/>
              </w:rPr>
              <w:t>Ÿ   Note: any other RACH-based solutions are for discussion separately</w:t>
            </w:r>
          </w:p>
          <w:p w14:paraId="7959BF4A" w14:textId="77777777" w:rsidR="00F31E3E" w:rsidRPr="003A5C3F" w:rsidRDefault="00F31E3E" w:rsidP="0041160D">
            <w:pPr>
              <w:shd w:val="clear" w:color="auto" w:fill="FFFFFF"/>
              <w:spacing w:line="330" w:lineRule="atLeast"/>
              <w:rPr>
                <w:rFonts w:ascii="Times New Roman" w:eastAsia="MS PGothic" w:hAnsi="Times New Roman" w:cs="Times New Roman"/>
                <w:i/>
                <w:iCs/>
                <w:color w:val="242424"/>
                <w:sz w:val="18"/>
                <w:szCs w:val="18"/>
                <w:shd w:val="clear" w:color="auto" w:fill="FFFFFF"/>
                <w:lang w:eastAsia="zh-CN"/>
              </w:rPr>
            </w:pPr>
            <w:r w:rsidRPr="000E2B18">
              <w:rPr>
                <w:rFonts w:ascii="Times New Roman" w:eastAsia="Batang" w:hAnsi="Times New Roman" w:cs="Times New Roman"/>
                <w:b/>
                <w:bCs/>
                <w:i/>
                <w:iCs/>
                <w:sz w:val="18"/>
                <w:szCs w:val="18"/>
                <w:lang w:val="en-GB" w:eastAsia="x-none"/>
              </w:rPr>
              <w:t>Agreement</w:t>
            </w:r>
            <w:r w:rsidRPr="003A5C3F">
              <w:rPr>
                <w:rFonts w:ascii="Times New Roman" w:eastAsia="MS PGothic" w:hAnsi="Times New Roman" w:cs="Times New Roman"/>
                <w:i/>
                <w:iCs/>
                <w:color w:val="242424"/>
                <w:sz w:val="18"/>
                <w:szCs w:val="18"/>
                <w:shd w:val="clear" w:color="auto" w:fill="FFFFFF"/>
                <w:lang w:eastAsia="zh-CN"/>
              </w:rPr>
              <w:t> (Made in RAN1#110b-e)</w:t>
            </w:r>
          </w:p>
          <w:p w14:paraId="030C74B2" w14:textId="77777777" w:rsidR="00F31E3E" w:rsidRPr="003A5C3F" w:rsidRDefault="00F31E3E" w:rsidP="0041160D">
            <w:pPr>
              <w:shd w:val="clear" w:color="auto" w:fill="FFFFFF"/>
              <w:rPr>
                <w:rFonts w:ascii="Times New Roman" w:eastAsia="MS PGothic" w:hAnsi="Times New Roman" w:cs="Times New Roman"/>
                <w:i/>
                <w:iCs/>
                <w:color w:val="000000"/>
                <w:sz w:val="18"/>
                <w:szCs w:val="18"/>
                <w:lang w:eastAsia="zh-CN"/>
              </w:rPr>
            </w:pPr>
            <w:r w:rsidRPr="003A5C3F">
              <w:rPr>
                <w:rFonts w:ascii="Times New Roman" w:eastAsia="MS PGothic" w:hAnsi="Times New Roman" w:cs="Times New Roman"/>
                <w:i/>
                <w:iCs/>
                <w:color w:val="000000"/>
                <w:sz w:val="18"/>
                <w:szCs w:val="18"/>
                <w:lang w:eastAsia="zh-CN"/>
              </w:rPr>
              <w:t>Support TA acquisition of candidate cell(s) before cell switch command is received in L1/L2 based mobility.</w:t>
            </w:r>
          </w:p>
          <w:p w14:paraId="0FE5790E" w14:textId="77777777" w:rsidR="00F31E3E" w:rsidRPr="00D66220" w:rsidRDefault="00F31E3E">
            <w:pPr>
              <w:numPr>
                <w:ilvl w:val="0"/>
                <w:numId w:val="6"/>
              </w:numPr>
              <w:shd w:val="clear" w:color="auto" w:fill="FFFFFF"/>
              <w:rPr>
                <w:rFonts w:ascii="Times New Roman" w:eastAsia="MS PGothic" w:hAnsi="Times New Roman" w:cs="Times New Roman"/>
                <w:i/>
                <w:iCs/>
                <w:sz w:val="18"/>
                <w:szCs w:val="18"/>
                <w:lang w:eastAsia="zh-CN"/>
              </w:rPr>
            </w:pPr>
            <w:r w:rsidRPr="003A5C3F">
              <w:rPr>
                <w:rFonts w:ascii="Times New Roman" w:eastAsia="MS PGothic" w:hAnsi="Times New Roman" w:cs="Times New Roman"/>
                <w:i/>
                <w:iCs/>
                <w:sz w:val="18"/>
                <w:szCs w:val="18"/>
                <w:lang w:eastAsia="zh-CN"/>
              </w:rPr>
              <w:t>FFS: whether this can be applied to candidate cell when it is deactivated S</w:t>
            </w:r>
            <w:r w:rsidRPr="003A5C3F">
              <w:rPr>
                <w:rFonts w:ascii="Times New Roman" w:eastAsia="MS PGothic" w:hAnsi="Times New Roman"/>
                <w:i/>
                <w:iCs/>
                <w:sz w:val="18"/>
                <w:szCs w:val="18"/>
                <w:lang w:eastAsia="zh-CN"/>
              </w:rPr>
              <w:t>c</w:t>
            </w:r>
            <w:r w:rsidRPr="003A5C3F">
              <w:rPr>
                <w:rFonts w:ascii="Times New Roman" w:eastAsia="MS PGothic" w:hAnsi="Times New Roman" w:cs="Times New Roman"/>
                <w:i/>
                <w:iCs/>
                <w:sz w:val="18"/>
                <w:szCs w:val="18"/>
                <w:lang w:eastAsia="zh-CN"/>
              </w:rPr>
              <w:t>ell (if defined in RAN2)</w:t>
            </w:r>
          </w:p>
          <w:p w14:paraId="7161BDE4" w14:textId="77777777" w:rsidR="00F31E3E" w:rsidRPr="003A5C3F" w:rsidRDefault="00F31E3E" w:rsidP="0041160D">
            <w:pPr>
              <w:shd w:val="clear" w:color="auto" w:fill="FFFFFF"/>
              <w:rPr>
                <w:rFonts w:ascii="Times New Roman" w:eastAsia="SimSun" w:hAnsi="Times New Roman" w:cs="Times New Roman"/>
                <w:i/>
                <w:iCs/>
                <w:color w:val="000000"/>
                <w:sz w:val="18"/>
                <w:szCs w:val="18"/>
                <w:lang w:eastAsia="zh-CN"/>
              </w:rPr>
            </w:pPr>
          </w:p>
          <w:p w14:paraId="4DBEC053" w14:textId="77777777" w:rsidR="00F31E3E" w:rsidRPr="003A5C3F" w:rsidRDefault="00F31E3E" w:rsidP="0041160D">
            <w:pPr>
              <w:shd w:val="clear" w:color="auto" w:fill="FFFFFF"/>
              <w:spacing w:line="330" w:lineRule="atLeast"/>
              <w:rPr>
                <w:rFonts w:ascii="Times New Roman" w:eastAsia="SimSun" w:hAnsi="Times New Roman" w:cs="Times New Roman"/>
                <w:i/>
                <w:iCs/>
                <w:color w:val="000000"/>
                <w:sz w:val="18"/>
                <w:szCs w:val="18"/>
                <w:lang w:eastAsia="zh-CN"/>
              </w:rPr>
            </w:pPr>
            <w:r w:rsidRPr="000E2B18">
              <w:rPr>
                <w:rFonts w:ascii="Times New Roman" w:eastAsia="Batang" w:hAnsi="Times New Roman" w:cs="Times New Roman"/>
                <w:b/>
                <w:bCs/>
                <w:i/>
                <w:iCs/>
                <w:sz w:val="18"/>
                <w:szCs w:val="18"/>
                <w:lang w:val="en-GB" w:eastAsia="x-none"/>
              </w:rPr>
              <w:t>Agreement</w:t>
            </w:r>
          </w:p>
          <w:p w14:paraId="29E50A98" w14:textId="77777777" w:rsidR="00F31E3E" w:rsidRPr="003A5C3F" w:rsidRDefault="00F31E3E" w:rsidP="0041160D">
            <w:pPr>
              <w:shd w:val="clear" w:color="auto" w:fill="FFFFFF"/>
              <w:rPr>
                <w:rFonts w:ascii="Times New Roman" w:eastAsia="SimSun" w:hAnsi="Times New Roman" w:cs="Times New Roman"/>
                <w:i/>
                <w:iCs/>
                <w:color w:val="000000"/>
                <w:sz w:val="18"/>
                <w:szCs w:val="18"/>
                <w:lang w:eastAsia="zh-CN"/>
              </w:rPr>
            </w:pPr>
            <w:r w:rsidRPr="003A5C3F">
              <w:rPr>
                <w:rFonts w:ascii="Times New Roman" w:eastAsia="SimSun" w:hAnsi="Times New Roman" w:cs="Times New Roman"/>
                <w:i/>
                <w:iCs/>
                <w:color w:val="000000"/>
                <w:sz w:val="18"/>
                <w:szCs w:val="18"/>
                <w:lang w:eastAsia="zh-CN"/>
              </w:rPr>
              <w:t>For PDCCH ordered RACH in LTM, at least the following enhancements are supported</w:t>
            </w:r>
          </w:p>
          <w:p w14:paraId="52D425E9" w14:textId="77777777" w:rsidR="00F31E3E" w:rsidRPr="003A5C3F" w:rsidRDefault="00F31E3E">
            <w:pPr>
              <w:numPr>
                <w:ilvl w:val="0"/>
                <w:numId w:val="7"/>
              </w:numPr>
              <w:shd w:val="clear" w:color="auto" w:fill="FFFFFF"/>
              <w:rPr>
                <w:rFonts w:ascii="Times New Roman" w:eastAsia="SimSun" w:hAnsi="Times New Roman" w:cs="Times New Roman"/>
                <w:i/>
                <w:iCs/>
                <w:color w:val="000000"/>
                <w:sz w:val="18"/>
                <w:szCs w:val="18"/>
                <w:lang w:eastAsia="zh-CN"/>
              </w:rPr>
            </w:pPr>
            <w:r w:rsidRPr="003A5C3F">
              <w:rPr>
                <w:rFonts w:ascii="Times New Roman" w:eastAsia="SimSun" w:hAnsi="Times New Roman" w:cs="Times New Roman"/>
                <w:i/>
                <w:iCs/>
                <w:color w:val="000000"/>
                <w:sz w:val="18"/>
                <w:szCs w:val="18"/>
                <w:lang w:eastAsia="zh-CN"/>
              </w:rPr>
              <w:t>Introduce indication of candidate cell and/or RO of candidate cell in DCI</w:t>
            </w:r>
          </w:p>
          <w:p w14:paraId="2FBF3A6E" w14:textId="77777777" w:rsidR="00F31E3E" w:rsidRPr="003A5C3F" w:rsidRDefault="00F31E3E">
            <w:pPr>
              <w:numPr>
                <w:ilvl w:val="0"/>
                <w:numId w:val="7"/>
              </w:numPr>
              <w:shd w:val="clear" w:color="auto" w:fill="FFFFFF"/>
              <w:rPr>
                <w:rFonts w:ascii="Times New Roman" w:eastAsia="SimSun" w:hAnsi="Times New Roman" w:cs="Times New Roman"/>
                <w:i/>
                <w:iCs/>
                <w:color w:val="000000"/>
                <w:sz w:val="18"/>
                <w:szCs w:val="18"/>
                <w:lang w:eastAsia="zh-CN"/>
              </w:rPr>
            </w:pPr>
            <w:r w:rsidRPr="003A5C3F">
              <w:rPr>
                <w:rFonts w:ascii="Times New Roman" w:eastAsia="SimSun" w:hAnsi="Times New Roman" w:cs="Times New Roman"/>
                <w:i/>
                <w:iCs/>
                <w:color w:val="000000"/>
                <w:sz w:val="18"/>
                <w:szCs w:val="18"/>
                <w:lang w:eastAsia="zh-CN"/>
              </w:rPr>
              <w:t>configuration of RACH resource for candidate cell(s) is provided prior to the PDCCH order</w:t>
            </w:r>
          </w:p>
          <w:p w14:paraId="56315F2F" w14:textId="77777777" w:rsidR="00F31E3E" w:rsidRPr="003A5C3F" w:rsidRDefault="00F31E3E">
            <w:pPr>
              <w:numPr>
                <w:ilvl w:val="0"/>
                <w:numId w:val="7"/>
              </w:numPr>
              <w:shd w:val="clear" w:color="auto" w:fill="FFFFFF"/>
              <w:rPr>
                <w:rFonts w:ascii="Times New Roman" w:eastAsia="SimSun" w:hAnsi="Times New Roman" w:cs="Times New Roman"/>
                <w:i/>
                <w:iCs/>
                <w:color w:val="000000"/>
                <w:sz w:val="18"/>
                <w:szCs w:val="18"/>
                <w:lang w:eastAsia="zh-CN"/>
              </w:rPr>
            </w:pPr>
            <w:r w:rsidRPr="003A5C3F">
              <w:rPr>
                <w:rFonts w:ascii="Times New Roman" w:eastAsia="SimSun" w:hAnsi="Times New Roman" w:cs="Times New Roman"/>
                <w:i/>
                <w:iCs/>
                <w:color w:val="000000"/>
                <w:sz w:val="18"/>
                <w:szCs w:val="18"/>
                <w:lang w:eastAsia="zh-CN"/>
              </w:rPr>
              <w:t>FFS: whether/how to transmit RAR</w:t>
            </w:r>
          </w:p>
          <w:p w14:paraId="3F1D6404" w14:textId="77777777" w:rsidR="00F31E3E" w:rsidRPr="003A5C3F" w:rsidRDefault="00F31E3E" w:rsidP="0041160D">
            <w:pPr>
              <w:shd w:val="clear" w:color="auto" w:fill="FFFFFF"/>
              <w:rPr>
                <w:rFonts w:ascii="Times New Roman" w:eastAsia="SimSun" w:hAnsi="Times New Roman" w:cs="Times New Roman"/>
                <w:i/>
                <w:iCs/>
                <w:color w:val="000000"/>
                <w:sz w:val="18"/>
                <w:szCs w:val="18"/>
                <w:lang w:eastAsia="zh-CN"/>
              </w:rPr>
            </w:pPr>
            <w:r w:rsidRPr="003A5C3F">
              <w:rPr>
                <w:rFonts w:ascii="Times New Roman" w:eastAsia="SimSun" w:hAnsi="Times New Roman" w:cs="Times New Roman"/>
                <w:i/>
                <w:iCs/>
                <w:color w:val="000000"/>
                <w:sz w:val="18"/>
                <w:szCs w:val="18"/>
                <w:lang w:eastAsia="zh-CN"/>
              </w:rPr>
              <w:t> </w:t>
            </w:r>
          </w:p>
          <w:p w14:paraId="6592D467" w14:textId="77777777" w:rsidR="00F31E3E" w:rsidRPr="003A5C3F" w:rsidRDefault="00F31E3E" w:rsidP="0041160D">
            <w:pPr>
              <w:shd w:val="clear" w:color="auto" w:fill="FFFFFF"/>
              <w:spacing w:line="330" w:lineRule="atLeast"/>
              <w:rPr>
                <w:rFonts w:ascii="Times New Roman" w:eastAsia="SimSun" w:hAnsi="Times New Roman" w:cs="Times New Roman"/>
                <w:i/>
                <w:iCs/>
                <w:color w:val="000000"/>
                <w:sz w:val="18"/>
                <w:szCs w:val="18"/>
                <w:lang w:eastAsia="zh-CN"/>
              </w:rPr>
            </w:pPr>
            <w:r w:rsidRPr="003A5C3F">
              <w:rPr>
                <w:rFonts w:ascii="Times New Roman" w:eastAsia="SimSun" w:hAnsi="Times New Roman" w:cs="Times New Roman"/>
                <w:i/>
                <w:iCs/>
                <w:color w:val="000000"/>
                <w:sz w:val="18"/>
                <w:szCs w:val="18"/>
                <w:lang w:eastAsia="zh-CN"/>
              </w:rPr>
              <w:t> </w:t>
            </w:r>
            <w:r w:rsidRPr="000E2B18">
              <w:rPr>
                <w:rFonts w:ascii="Times New Roman" w:eastAsia="Batang" w:hAnsi="Times New Roman" w:cs="Times New Roman"/>
                <w:b/>
                <w:bCs/>
                <w:i/>
                <w:iCs/>
                <w:sz w:val="18"/>
                <w:szCs w:val="18"/>
                <w:lang w:val="en-GB" w:eastAsia="x-none"/>
              </w:rPr>
              <w:t>Agreement</w:t>
            </w:r>
          </w:p>
          <w:p w14:paraId="4CEB6349" w14:textId="77777777" w:rsidR="00F31E3E" w:rsidRPr="003A5C3F" w:rsidRDefault="00F31E3E" w:rsidP="0041160D">
            <w:pPr>
              <w:pStyle w:val="ListParagraph"/>
              <w:ind w:left="0"/>
              <w:rPr>
                <w:rFonts w:eastAsia="SimSun"/>
                <w:i/>
                <w:iCs/>
                <w:color w:val="000000"/>
                <w:sz w:val="18"/>
                <w:szCs w:val="18"/>
                <w:lang w:val="en-US" w:eastAsia="zh-CN"/>
              </w:rPr>
            </w:pPr>
            <w:r w:rsidRPr="003A5C3F">
              <w:rPr>
                <w:rFonts w:eastAsia="SimSun"/>
                <w:i/>
                <w:iCs/>
                <w:color w:val="000000"/>
                <w:sz w:val="18"/>
                <w:szCs w:val="18"/>
                <w:lang w:val="en-US" w:eastAsia="zh-CN"/>
              </w:rPr>
              <w:t>On whether RAR is needed for PDCCH ordered RACH for a candidate cell in LTM, the following alternatives are considered for further study</w:t>
            </w:r>
          </w:p>
          <w:p w14:paraId="7D4CC8A0" w14:textId="77777777" w:rsidR="00F31E3E" w:rsidRPr="003A5C3F" w:rsidRDefault="00F31E3E">
            <w:pPr>
              <w:pStyle w:val="ListParagraph"/>
              <w:numPr>
                <w:ilvl w:val="0"/>
                <w:numId w:val="8"/>
              </w:numPr>
              <w:overflowPunct/>
              <w:autoSpaceDE/>
              <w:autoSpaceDN/>
              <w:adjustRightInd/>
              <w:spacing w:before="0" w:after="160" w:line="259" w:lineRule="auto"/>
              <w:ind w:left="360" w:hanging="360"/>
              <w:textAlignment w:val="auto"/>
              <w:rPr>
                <w:i/>
                <w:iCs/>
                <w:sz w:val="18"/>
                <w:szCs w:val="18"/>
                <w:lang w:eastAsia="zh-CN"/>
              </w:rPr>
            </w:pPr>
            <w:r w:rsidRPr="003A5C3F">
              <w:rPr>
                <w:i/>
                <w:iCs/>
                <w:sz w:val="18"/>
                <w:szCs w:val="18"/>
                <w:lang w:eastAsia="zh-CN"/>
              </w:rPr>
              <w:t>Alt 1: RAR is needed</w:t>
            </w:r>
          </w:p>
          <w:p w14:paraId="05B98B8E" w14:textId="77777777" w:rsidR="00F31E3E" w:rsidRPr="003A5C3F" w:rsidRDefault="00F31E3E">
            <w:pPr>
              <w:pStyle w:val="ListParagraph"/>
              <w:numPr>
                <w:ilvl w:val="0"/>
                <w:numId w:val="8"/>
              </w:numPr>
              <w:overflowPunct/>
              <w:autoSpaceDE/>
              <w:autoSpaceDN/>
              <w:adjustRightInd/>
              <w:spacing w:before="0" w:after="160" w:line="259" w:lineRule="auto"/>
              <w:ind w:left="360" w:hanging="360"/>
              <w:textAlignment w:val="auto"/>
              <w:rPr>
                <w:i/>
                <w:iCs/>
                <w:sz w:val="18"/>
                <w:szCs w:val="18"/>
                <w:lang w:eastAsia="zh-CN"/>
              </w:rPr>
            </w:pPr>
            <w:r w:rsidRPr="003A5C3F">
              <w:rPr>
                <w:i/>
                <w:iCs/>
                <w:sz w:val="18"/>
                <w:szCs w:val="18"/>
                <w:lang w:eastAsia="zh-CN"/>
              </w:rPr>
              <w:t>Alt 2: RAR is not needed</w:t>
            </w:r>
          </w:p>
          <w:p w14:paraId="3A2B6994" w14:textId="77777777" w:rsidR="00F31E3E" w:rsidRPr="003A5C3F" w:rsidRDefault="00F31E3E">
            <w:pPr>
              <w:pStyle w:val="ListParagraph"/>
              <w:numPr>
                <w:ilvl w:val="2"/>
                <w:numId w:val="8"/>
              </w:numPr>
              <w:overflowPunct/>
              <w:autoSpaceDE/>
              <w:autoSpaceDN/>
              <w:adjustRightInd/>
              <w:spacing w:before="0" w:after="160" w:line="259" w:lineRule="auto"/>
              <w:ind w:hanging="360"/>
              <w:textAlignment w:val="auto"/>
              <w:rPr>
                <w:i/>
                <w:iCs/>
                <w:sz w:val="18"/>
                <w:szCs w:val="18"/>
                <w:lang w:eastAsia="zh-CN"/>
              </w:rPr>
            </w:pPr>
            <w:r w:rsidRPr="003A5C3F">
              <w:rPr>
                <w:i/>
                <w:iCs/>
                <w:sz w:val="18"/>
                <w:szCs w:val="18"/>
                <w:lang w:eastAsia="zh-CN"/>
              </w:rPr>
              <w:t>Note: If Alt 2 is supported, TA value of candidate cell is indicated in cell switch command</w:t>
            </w:r>
          </w:p>
          <w:p w14:paraId="2E7E25F0" w14:textId="77777777" w:rsidR="00F31E3E" w:rsidRPr="00D66220" w:rsidRDefault="00F31E3E">
            <w:pPr>
              <w:pStyle w:val="ListParagraph"/>
              <w:numPr>
                <w:ilvl w:val="0"/>
                <w:numId w:val="8"/>
              </w:numPr>
              <w:overflowPunct/>
              <w:autoSpaceDE/>
              <w:autoSpaceDN/>
              <w:adjustRightInd/>
              <w:spacing w:before="0" w:after="160" w:line="259" w:lineRule="auto"/>
              <w:ind w:left="360" w:hanging="360"/>
              <w:textAlignment w:val="auto"/>
              <w:rPr>
                <w:rFonts w:eastAsia="Batang"/>
                <w:i/>
                <w:iCs/>
                <w:sz w:val="18"/>
                <w:szCs w:val="18"/>
                <w:lang w:eastAsia="zh-CN"/>
              </w:rPr>
            </w:pPr>
            <w:r w:rsidRPr="003A5C3F">
              <w:rPr>
                <w:i/>
                <w:iCs/>
                <w:sz w:val="18"/>
                <w:szCs w:val="18"/>
                <w:lang w:eastAsia="zh-CN"/>
              </w:rPr>
              <w:t>Alt 3: whether RAR is needed can be configured</w:t>
            </w:r>
          </w:p>
          <w:p w14:paraId="3882337E" w14:textId="77777777" w:rsidR="00F31E3E" w:rsidRPr="003A5C3F" w:rsidRDefault="00F31E3E" w:rsidP="0041160D">
            <w:pPr>
              <w:shd w:val="clear" w:color="auto" w:fill="FFFFFF"/>
              <w:spacing w:line="330" w:lineRule="atLeast"/>
              <w:rPr>
                <w:rFonts w:ascii="Times New Roman" w:hAnsi="Times New Roman" w:cs="Times New Roman"/>
                <w:i/>
                <w:iCs/>
                <w:sz w:val="18"/>
                <w:szCs w:val="18"/>
              </w:rPr>
            </w:pPr>
            <w:r w:rsidRPr="000E2B18">
              <w:rPr>
                <w:rFonts w:ascii="Times New Roman" w:hAnsi="Times New Roman" w:cs="Times New Roman"/>
                <w:b/>
                <w:bCs/>
                <w:i/>
                <w:iCs/>
                <w:sz w:val="18"/>
                <w:szCs w:val="18"/>
                <w:lang w:eastAsia="x-none"/>
              </w:rPr>
              <w:t>Agreement</w:t>
            </w:r>
          </w:p>
          <w:p w14:paraId="75FE314D" w14:textId="77777777" w:rsidR="00F31E3E" w:rsidRPr="003A5C3F" w:rsidRDefault="00F31E3E">
            <w:pPr>
              <w:numPr>
                <w:ilvl w:val="0"/>
                <w:numId w:val="9"/>
              </w:numPr>
              <w:rPr>
                <w:rFonts w:ascii="Times New Roman" w:hAnsi="Times New Roman" w:cs="Times New Roman"/>
                <w:i/>
                <w:iCs/>
                <w:sz w:val="18"/>
                <w:szCs w:val="18"/>
                <w:lang w:eastAsia="zh-CN"/>
              </w:rPr>
            </w:pPr>
            <w:r w:rsidRPr="003A5C3F">
              <w:rPr>
                <w:rFonts w:ascii="Times New Roman" w:hAnsi="Times New Roman" w:cs="Times New Roman"/>
                <w:i/>
                <w:iCs/>
                <w:sz w:val="18"/>
                <w:szCs w:val="18"/>
                <w:lang w:eastAsia="zh-CN"/>
              </w:rPr>
              <w:t xml:space="preserve">TA updating </w:t>
            </w:r>
            <w:r w:rsidRPr="003A5C3F">
              <w:rPr>
                <w:rFonts w:ascii="Times New Roman" w:eastAsia="DengXian" w:hAnsi="Times New Roman" w:cs="Times New Roman"/>
                <w:i/>
                <w:iCs/>
                <w:sz w:val="18"/>
                <w:szCs w:val="18"/>
                <w:lang w:eastAsia="zh-CN"/>
              </w:rPr>
              <w:t>(</w:t>
            </w:r>
            <w:proofErr w:type="gramStart"/>
            <w:r w:rsidRPr="003A5C3F">
              <w:rPr>
                <w:rFonts w:ascii="Times New Roman" w:eastAsia="DengXian" w:hAnsi="Times New Roman" w:cs="Times New Roman"/>
                <w:i/>
                <w:iCs/>
                <w:sz w:val="18"/>
                <w:szCs w:val="18"/>
                <w:lang w:eastAsia="zh-CN"/>
              </w:rPr>
              <w:t>i.e.</w:t>
            </w:r>
            <w:proofErr w:type="gramEnd"/>
            <w:r w:rsidRPr="003A5C3F">
              <w:rPr>
                <w:rFonts w:ascii="Times New Roman" w:eastAsia="DengXian" w:hAnsi="Times New Roman" w:cs="Times New Roman"/>
                <w:i/>
                <w:iCs/>
                <w:sz w:val="18"/>
                <w:szCs w:val="18"/>
                <w:lang w:eastAsia="zh-CN"/>
              </w:rPr>
              <w:t xml:space="preserve"> re-</w:t>
            </w:r>
            <w:r w:rsidRPr="003A5C3F">
              <w:rPr>
                <w:rFonts w:ascii="Times New Roman" w:hAnsi="Times New Roman" w:cs="Times New Roman"/>
                <w:i/>
                <w:iCs/>
                <w:sz w:val="18"/>
                <w:szCs w:val="18"/>
                <w:lang w:eastAsia="zh-CN"/>
              </w:rPr>
              <w:t>acquisition</w:t>
            </w:r>
            <w:r w:rsidRPr="003A5C3F">
              <w:rPr>
                <w:rFonts w:ascii="Times New Roman" w:eastAsia="DengXian" w:hAnsi="Times New Roman" w:cs="Times New Roman"/>
                <w:i/>
                <w:iCs/>
                <w:sz w:val="18"/>
                <w:szCs w:val="18"/>
                <w:lang w:eastAsia="zh-CN"/>
              </w:rPr>
              <w:t xml:space="preserve"> of TA)</w:t>
            </w:r>
            <w:r w:rsidRPr="003A5C3F">
              <w:rPr>
                <w:rFonts w:ascii="Times New Roman" w:hAnsi="Times New Roman" w:cs="Times New Roman"/>
                <w:i/>
                <w:iCs/>
                <w:sz w:val="18"/>
                <w:szCs w:val="18"/>
                <w:lang w:eastAsia="zh-CN"/>
              </w:rPr>
              <w:t xml:space="preserve"> for candidate cell can be triggered by NW. </w:t>
            </w:r>
          </w:p>
          <w:p w14:paraId="33B65095" w14:textId="77777777" w:rsidR="00F31E3E" w:rsidRPr="003A5C3F" w:rsidRDefault="00F31E3E">
            <w:pPr>
              <w:numPr>
                <w:ilvl w:val="1"/>
                <w:numId w:val="9"/>
              </w:numPr>
              <w:rPr>
                <w:rFonts w:ascii="Times New Roman" w:eastAsia="DengXian" w:hAnsi="Times New Roman" w:cs="Times New Roman"/>
                <w:i/>
                <w:iCs/>
                <w:sz w:val="18"/>
                <w:szCs w:val="18"/>
                <w:lang w:eastAsia="zh-CN"/>
              </w:rPr>
            </w:pPr>
            <w:r w:rsidRPr="003A5C3F">
              <w:rPr>
                <w:rFonts w:ascii="Times New Roman" w:hAnsi="Times New Roman" w:cs="Times New Roman"/>
                <w:i/>
                <w:iCs/>
                <w:sz w:val="18"/>
                <w:szCs w:val="18"/>
                <w:lang w:eastAsia="zh-CN"/>
              </w:rPr>
              <w:t>same triggering mechanism reuse the initial TA acquisition, i.e., PDCCH order triggered RACH in a candidate cell</w:t>
            </w:r>
          </w:p>
          <w:p w14:paraId="743E3679" w14:textId="77777777" w:rsidR="00F31E3E" w:rsidRPr="003A5C3F" w:rsidRDefault="00F31E3E" w:rsidP="0041160D">
            <w:pPr>
              <w:rPr>
                <w:rFonts w:ascii="Times New Roman" w:hAnsi="Times New Roman" w:cs="Times New Roman"/>
                <w:i/>
                <w:iCs/>
                <w:sz w:val="18"/>
                <w:szCs w:val="18"/>
              </w:rPr>
            </w:pPr>
          </w:p>
        </w:tc>
      </w:tr>
    </w:tbl>
    <w:p w14:paraId="0EF9EFAE" w14:textId="77777777" w:rsidR="00F31E3E" w:rsidRDefault="00F31E3E" w:rsidP="00F31E3E"/>
    <w:p w14:paraId="256C9CE9" w14:textId="77777777" w:rsidR="00F31E3E" w:rsidRPr="003374AD" w:rsidRDefault="00F31E3E" w:rsidP="00F31E3E">
      <w:pPr>
        <w:rPr>
          <w:rFonts w:ascii="Garamond" w:hAnsi="Garamond"/>
          <w:sz w:val="20"/>
          <w:szCs w:val="20"/>
        </w:rPr>
      </w:pPr>
      <w:r w:rsidRPr="003374AD">
        <w:rPr>
          <w:rFonts w:ascii="Garamond" w:hAnsi="Garamond"/>
          <w:sz w:val="20"/>
          <w:szCs w:val="20"/>
        </w:rPr>
        <w:t>Following agreements were reached in RAN2#120:</w:t>
      </w:r>
    </w:p>
    <w:p w14:paraId="52CC610C" w14:textId="77777777" w:rsidR="00F31E3E" w:rsidRDefault="00F31E3E" w:rsidP="00F31E3E"/>
    <w:tbl>
      <w:tblPr>
        <w:tblStyle w:val="TableGrid"/>
        <w:tblW w:w="0" w:type="auto"/>
        <w:tblLook w:val="04A0" w:firstRow="1" w:lastRow="0" w:firstColumn="1" w:lastColumn="0" w:noHBand="0" w:noVBand="1"/>
      </w:tblPr>
      <w:tblGrid>
        <w:gridCol w:w="9350"/>
      </w:tblGrid>
      <w:tr w:rsidR="00F31E3E" w14:paraId="7230575C" w14:textId="77777777" w:rsidTr="0041160D">
        <w:tc>
          <w:tcPr>
            <w:tcW w:w="9350" w:type="dxa"/>
          </w:tcPr>
          <w:p w14:paraId="05B3F15D" w14:textId="77777777" w:rsidR="00F31E3E" w:rsidRDefault="00F31E3E" w:rsidP="0041160D">
            <w:r>
              <w:t>Relevant RAN2 agreements:</w:t>
            </w:r>
          </w:p>
          <w:p w14:paraId="633F34C1" w14:textId="77777777" w:rsidR="00F31E3E" w:rsidRPr="008C1389" w:rsidRDefault="00F31E3E" w:rsidP="0041160D">
            <w:pPr>
              <w:pStyle w:val="ListParagraph"/>
              <w:ind w:left="0"/>
              <w:rPr>
                <w:rFonts w:eastAsia="SimSun"/>
                <w:i/>
                <w:iCs/>
                <w:color w:val="000000"/>
                <w:sz w:val="18"/>
                <w:szCs w:val="18"/>
                <w:lang w:val="en-US" w:eastAsia="zh-CN"/>
              </w:rPr>
            </w:pPr>
          </w:p>
          <w:p w14:paraId="0AD7C441" w14:textId="77777777" w:rsidR="00F31E3E" w:rsidRDefault="00F31E3E">
            <w:pPr>
              <w:pStyle w:val="ListParagraph"/>
              <w:numPr>
                <w:ilvl w:val="0"/>
                <w:numId w:val="11"/>
              </w:numPr>
              <w:overflowPunct/>
              <w:autoSpaceDE/>
              <w:autoSpaceDN/>
              <w:adjustRightInd/>
              <w:spacing w:before="0" w:after="0"/>
              <w:ind w:left="360"/>
              <w:contextualSpacing w:val="0"/>
              <w:textAlignment w:val="auto"/>
              <w:rPr>
                <w:rFonts w:eastAsia="SimSun"/>
                <w:i/>
                <w:iCs/>
                <w:color w:val="000000"/>
                <w:sz w:val="18"/>
                <w:szCs w:val="18"/>
                <w:lang w:val="en-US" w:eastAsia="zh-CN"/>
              </w:rPr>
            </w:pPr>
            <w:r w:rsidRPr="008C1389">
              <w:rPr>
                <w:rFonts w:eastAsia="SimSun"/>
                <w:i/>
                <w:iCs/>
                <w:color w:val="000000"/>
                <w:sz w:val="18"/>
                <w:szCs w:val="18"/>
                <w:lang w:val="en-US" w:eastAsia="zh-CN"/>
              </w:rPr>
              <w:lastRenderedPageBreak/>
              <w:t xml:space="preserve">RAN2 assumes that LTM (intra DU and inter DU) is network-controlled mobility where the control is from the source, </w:t>
            </w:r>
            <w:proofErr w:type="gramStart"/>
            <w:r w:rsidRPr="008C1389">
              <w:rPr>
                <w:rFonts w:eastAsia="SimSun"/>
                <w:i/>
                <w:iCs/>
                <w:color w:val="000000"/>
                <w:sz w:val="18"/>
                <w:szCs w:val="18"/>
                <w:lang w:val="en-US" w:eastAsia="zh-CN"/>
              </w:rPr>
              <w:t>i.e.</w:t>
            </w:r>
            <w:proofErr w:type="gramEnd"/>
            <w:r w:rsidRPr="008C1389">
              <w:rPr>
                <w:rFonts w:eastAsia="SimSun"/>
                <w:i/>
                <w:iCs/>
                <w:color w:val="000000"/>
                <w:sz w:val="18"/>
                <w:szCs w:val="18"/>
                <w:lang w:val="en-US" w:eastAsia="zh-CN"/>
              </w:rPr>
              <w:t xml:space="preserve"> measurements (L1 measurements) are configured in the UE from the source Cell, and the decision to switch cell is by the source cell, and enhancements considered for LTM before cell switch, e.g. pre-synchronization, TA handling, target beam </w:t>
            </w:r>
            <w:r>
              <w:rPr>
                <w:rFonts w:eastAsia="SimSun"/>
                <w:i/>
                <w:iCs/>
                <w:color w:val="000000"/>
                <w:sz w:val="18"/>
                <w:szCs w:val="18"/>
                <w:lang w:val="en-US" w:eastAsia="zh-CN"/>
              </w:rPr>
              <w:pgNum/>
            </w:r>
            <w:proofErr w:type="spellStart"/>
            <w:r>
              <w:rPr>
                <w:rFonts w:eastAsia="SimSun"/>
                <w:i/>
                <w:iCs/>
                <w:color w:val="000000"/>
                <w:sz w:val="18"/>
                <w:szCs w:val="18"/>
                <w:lang w:val="en-US" w:eastAsia="zh-CN"/>
              </w:rPr>
              <w:t>gmt</w:t>
            </w:r>
            <w:proofErr w:type="spellEnd"/>
            <w:r>
              <w:rPr>
                <w:rFonts w:eastAsia="SimSun"/>
                <w:i/>
                <w:iCs/>
                <w:color w:val="000000"/>
                <w:sz w:val="18"/>
                <w:szCs w:val="18"/>
                <w:lang w:val="en-US" w:eastAsia="zh-CN"/>
              </w:rPr>
              <w:t>.</w:t>
            </w:r>
            <w:r w:rsidRPr="008C1389">
              <w:rPr>
                <w:rFonts w:eastAsia="SimSun"/>
                <w:i/>
                <w:iCs/>
                <w:color w:val="000000"/>
                <w:sz w:val="18"/>
                <w:szCs w:val="18"/>
                <w:lang w:val="en-US" w:eastAsia="zh-CN"/>
              </w:rPr>
              <w:t xml:space="preserve"> (</w:t>
            </w:r>
            <w:proofErr w:type="gramStart"/>
            <w:r w:rsidRPr="008C1389">
              <w:rPr>
                <w:rFonts w:eastAsia="SimSun"/>
                <w:i/>
                <w:iCs/>
                <w:color w:val="000000"/>
                <w:sz w:val="18"/>
                <w:szCs w:val="18"/>
                <w:lang w:val="en-US" w:eastAsia="zh-CN"/>
              </w:rPr>
              <w:t>to</w:t>
            </w:r>
            <w:proofErr w:type="gramEnd"/>
            <w:r w:rsidRPr="008C1389">
              <w:rPr>
                <w:rFonts w:eastAsia="SimSun"/>
                <w:i/>
                <w:iCs/>
                <w:color w:val="000000"/>
                <w:sz w:val="18"/>
                <w:szCs w:val="18"/>
                <w:lang w:val="en-US" w:eastAsia="zh-CN"/>
              </w:rPr>
              <w:t xml:space="preserve"> the extent it is supported) may be by the source cell. RAN2 understands that this may require cooperation source DU CU target DU and/or OAM </w:t>
            </w:r>
            <w:proofErr w:type="spellStart"/>
            <w:r w:rsidRPr="008C1389">
              <w:rPr>
                <w:rFonts w:eastAsia="SimSun"/>
                <w:i/>
                <w:iCs/>
                <w:color w:val="000000"/>
                <w:sz w:val="18"/>
                <w:szCs w:val="18"/>
                <w:lang w:val="en-US" w:eastAsia="zh-CN"/>
              </w:rPr>
              <w:t>coord</w:t>
            </w:r>
            <w:proofErr w:type="spellEnd"/>
            <w:r w:rsidRPr="008C1389">
              <w:rPr>
                <w:rFonts w:eastAsia="SimSun"/>
                <w:i/>
                <w:iCs/>
                <w:color w:val="000000"/>
                <w:sz w:val="18"/>
                <w:szCs w:val="18"/>
                <w:lang w:val="en-US" w:eastAsia="zh-CN"/>
              </w:rPr>
              <w:t xml:space="preserve">. RAN2 don’t see any blocking issue to share information between </w:t>
            </w:r>
            <w:proofErr w:type="spellStart"/>
            <w:r w:rsidRPr="008C1389">
              <w:rPr>
                <w:rFonts w:eastAsia="SimSun"/>
                <w:i/>
                <w:iCs/>
                <w:color w:val="000000"/>
                <w:sz w:val="18"/>
                <w:szCs w:val="18"/>
                <w:lang w:val="en-US" w:eastAsia="zh-CN"/>
              </w:rPr>
              <w:t>Dus</w:t>
            </w:r>
            <w:proofErr w:type="spellEnd"/>
            <w:r w:rsidRPr="008C1389">
              <w:rPr>
                <w:rFonts w:eastAsia="SimSun"/>
                <w:i/>
                <w:iCs/>
                <w:color w:val="000000"/>
                <w:sz w:val="18"/>
                <w:szCs w:val="18"/>
                <w:lang w:val="en-US" w:eastAsia="zh-CN"/>
              </w:rPr>
              <w:t xml:space="preserve"> but the support of this is in RAN3 domain. RAN2 see no necessity for a direct inter-DU-interface to support this.</w:t>
            </w:r>
          </w:p>
          <w:p w14:paraId="1290B9EC" w14:textId="77777777" w:rsidR="00F31E3E" w:rsidRDefault="00F31E3E" w:rsidP="00BC0BBC">
            <w:pPr>
              <w:pStyle w:val="ListParagraph"/>
              <w:ind w:left="0"/>
              <w:rPr>
                <w:rFonts w:eastAsia="SimSun"/>
                <w:i/>
                <w:iCs/>
                <w:color w:val="000000"/>
                <w:sz w:val="18"/>
                <w:szCs w:val="18"/>
                <w:lang w:val="en-US" w:eastAsia="zh-CN"/>
              </w:rPr>
            </w:pPr>
          </w:p>
          <w:p w14:paraId="55395113" w14:textId="77777777" w:rsidR="00F31E3E" w:rsidRPr="008C1389" w:rsidRDefault="00F31E3E">
            <w:pPr>
              <w:pStyle w:val="ListParagraph"/>
              <w:numPr>
                <w:ilvl w:val="0"/>
                <w:numId w:val="10"/>
              </w:numPr>
              <w:overflowPunct/>
              <w:autoSpaceDE/>
              <w:autoSpaceDN/>
              <w:adjustRightInd/>
              <w:spacing w:before="0" w:after="0"/>
              <w:ind w:left="360"/>
              <w:contextualSpacing w:val="0"/>
              <w:textAlignment w:val="auto"/>
              <w:rPr>
                <w:rFonts w:eastAsia="SimSun"/>
                <w:i/>
                <w:iCs/>
                <w:color w:val="000000"/>
                <w:sz w:val="18"/>
                <w:szCs w:val="18"/>
                <w:lang w:eastAsia="zh-CN"/>
              </w:rPr>
            </w:pPr>
            <w:r w:rsidRPr="008C1389">
              <w:rPr>
                <w:rFonts w:eastAsia="SimSun"/>
                <w:i/>
                <w:iCs/>
                <w:color w:val="000000"/>
                <w:sz w:val="18"/>
                <w:szCs w:val="18"/>
                <w:lang w:eastAsia="zh-CN"/>
              </w:rPr>
              <w:t>The MAC CE agreed to carry LTM related information for cell switch is used for LTM triggering of the cell switch.</w:t>
            </w:r>
          </w:p>
          <w:p w14:paraId="12E8248A" w14:textId="77777777" w:rsidR="00F31E3E" w:rsidRPr="008C1389" w:rsidRDefault="00F31E3E">
            <w:pPr>
              <w:pStyle w:val="ListParagraph"/>
              <w:numPr>
                <w:ilvl w:val="0"/>
                <w:numId w:val="10"/>
              </w:numPr>
              <w:overflowPunct/>
              <w:autoSpaceDE/>
              <w:autoSpaceDN/>
              <w:adjustRightInd/>
              <w:spacing w:before="0" w:after="0"/>
              <w:ind w:left="360"/>
              <w:contextualSpacing w:val="0"/>
              <w:textAlignment w:val="auto"/>
              <w:rPr>
                <w:rFonts w:eastAsia="SimSun"/>
                <w:i/>
                <w:iCs/>
                <w:color w:val="000000"/>
                <w:sz w:val="18"/>
                <w:szCs w:val="18"/>
                <w:lang w:eastAsia="zh-CN"/>
              </w:rPr>
            </w:pPr>
            <w:r w:rsidRPr="008C1389">
              <w:rPr>
                <w:rFonts w:eastAsia="SimSun"/>
                <w:i/>
                <w:iCs/>
                <w:color w:val="000000"/>
                <w:sz w:val="18"/>
                <w:szCs w:val="18"/>
                <w:lang w:eastAsia="zh-CN"/>
              </w:rPr>
              <w:t>LTM cell switch is supervised by a timer</w:t>
            </w:r>
          </w:p>
          <w:p w14:paraId="6ECE856A" w14:textId="77777777" w:rsidR="00F31E3E" w:rsidRPr="008C1389" w:rsidRDefault="00F31E3E">
            <w:pPr>
              <w:pStyle w:val="ListParagraph"/>
              <w:numPr>
                <w:ilvl w:val="0"/>
                <w:numId w:val="10"/>
              </w:numPr>
              <w:overflowPunct/>
              <w:autoSpaceDE/>
              <w:autoSpaceDN/>
              <w:adjustRightInd/>
              <w:spacing w:before="0" w:after="0"/>
              <w:ind w:left="360"/>
              <w:contextualSpacing w:val="0"/>
              <w:textAlignment w:val="auto"/>
              <w:rPr>
                <w:rFonts w:eastAsia="SimSun"/>
                <w:i/>
                <w:iCs/>
                <w:color w:val="000000"/>
                <w:sz w:val="18"/>
                <w:szCs w:val="18"/>
                <w:lang w:eastAsia="zh-CN"/>
              </w:rPr>
            </w:pPr>
            <w:r w:rsidRPr="008C1389">
              <w:rPr>
                <w:rFonts w:eastAsia="SimSun"/>
                <w:i/>
                <w:iCs/>
                <w:color w:val="000000"/>
                <w:sz w:val="18"/>
                <w:szCs w:val="18"/>
                <w:lang w:eastAsia="zh-CN"/>
              </w:rPr>
              <w:t xml:space="preserve">UE arrival in the target cell </w:t>
            </w:r>
            <w:proofErr w:type="gramStart"/>
            <w:r w:rsidRPr="008C1389">
              <w:rPr>
                <w:rFonts w:eastAsia="SimSun"/>
                <w:i/>
                <w:iCs/>
                <w:color w:val="000000"/>
                <w:sz w:val="18"/>
                <w:szCs w:val="18"/>
                <w:lang w:eastAsia="zh-CN"/>
              </w:rPr>
              <w:t>need</w:t>
            </w:r>
            <w:proofErr w:type="gramEnd"/>
            <w:r w:rsidRPr="008C1389">
              <w:rPr>
                <w:rFonts w:eastAsia="SimSun"/>
                <w:i/>
                <w:iCs/>
                <w:color w:val="000000"/>
                <w:sz w:val="18"/>
                <w:szCs w:val="18"/>
                <w:lang w:eastAsia="zh-CN"/>
              </w:rPr>
              <w:t xml:space="preserve"> to be indicated (somehow)</w:t>
            </w:r>
          </w:p>
          <w:p w14:paraId="03E1380F" w14:textId="77777777" w:rsidR="00F31E3E" w:rsidRDefault="00F31E3E" w:rsidP="0041160D">
            <w:pPr>
              <w:pStyle w:val="ListParagraph"/>
              <w:ind w:left="0"/>
            </w:pPr>
          </w:p>
        </w:tc>
      </w:tr>
    </w:tbl>
    <w:p w14:paraId="6ABD7F54" w14:textId="77777777" w:rsidR="00BC0BBC" w:rsidRDefault="00BC0BBC" w:rsidP="00F31E3E"/>
    <w:p w14:paraId="20527C71" w14:textId="282D3B4A" w:rsidR="00F31E3E" w:rsidRPr="000E4A50" w:rsidRDefault="00F31E3E" w:rsidP="00F31E3E">
      <w:pPr>
        <w:rPr>
          <w:rFonts w:ascii="Garamond" w:hAnsi="Garamond"/>
          <w:sz w:val="20"/>
          <w:szCs w:val="20"/>
        </w:rPr>
      </w:pPr>
      <w:r w:rsidRPr="000E4A50">
        <w:rPr>
          <w:rFonts w:ascii="Garamond" w:hAnsi="Garamond"/>
          <w:sz w:val="20"/>
          <w:szCs w:val="20"/>
        </w:rPr>
        <w:t xml:space="preserve">An accompanying paper in [1] </w:t>
      </w:r>
      <w:r w:rsidR="00D44FD0" w:rsidRPr="000E4A50">
        <w:rPr>
          <w:rFonts w:ascii="Garamond" w:hAnsi="Garamond"/>
          <w:sz w:val="20"/>
          <w:szCs w:val="20"/>
        </w:rPr>
        <w:t>depicts</w:t>
      </w:r>
      <w:r w:rsidRPr="000E4A50">
        <w:rPr>
          <w:rFonts w:ascii="Garamond" w:hAnsi="Garamond"/>
          <w:sz w:val="20"/>
          <w:szCs w:val="20"/>
        </w:rPr>
        <w:t xml:space="preserve"> </w:t>
      </w:r>
      <w:r w:rsidR="00D44FD0" w:rsidRPr="000E4A50">
        <w:rPr>
          <w:rFonts w:ascii="Garamond" w:hAnsi="Garamond"/>
          <w:sz w:val="20"/>
          <w:szCs w:val="20"/>
        </w:rPr>
        <w:t>two stage-2 like LTM procedural designs</w:t>
      </w:r>
      <w:r w:rsidRPr="000E4A50">
        <w:rPr>
          <w:rFonts w:ascii="Garamond" w:hAnsi="Garamond"/>
          <w:sz w:val="20"/>
          <w:szCs w:val="20"/>
        </w:rPr>
        <w:t>.</w:t>
      </w:r>
      <w:r w:rsidR="00D014BC" w:rsidRPr="000E4A50">
        <w:rPr>
          <w:rFonts w:ascii="Garamond" w:hAnsi="Garamond"/>
          <w:sz w:val="20"/>
          <w:szCs w:val="20"/>
        </w:rPr>
        <w:t xml:space="preserve"> </w:t>
      </w:r>
      <w:r w:rsidRPr="000E4A50">
        <w:rPr>
          <w:rFonts w:ascii="Garamond" w:hAnsi="Garamond"/>
          <w:sz w:val="20"/>
          <w:szCs w:val="20"/>
        </w:rPr>
        <w:t>An</w:t>
      </w:r>
      <w:r w:rsidR="00D014BC" w:rsidRPr="000E4A50">
        <w:rPr>
          <w:rFonts w:ascii="Garamond" w:hAnsi="Garamond"/>
          <w:sz w:val="20"/>
          <w:szCs w:val="20"/>
        </w:rPr>
        <w:t>other</w:t>
      </w:r>
      <w:r w:rsidRPr="000E4A50">
        <w:rPr>
          <w:rFonts w:ascii="Garamond" w:hAnsi="Garamond"/>
          <w:sz w:val="20"/>
          <w:szCs w:val="20"/>
        </w:rPr>
        <w:t xml:space="preserve"> accompanying paper in [2] discusses the failure handling.</w:t>
      </w:r>
    </w:p>
    <w:bookmarkEnd w:id="2"/>
    <w:p w14:paraId="5FA0C98E" w14:textId="36F61F92" w:rsidR="000E6A78" w:rsidRPr="00CD4E42" w:rsidRDefault="00A03D7D" w:rsidP="00CD4E42">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CD4E42">
        <w:rPr>
          <w:rFonts w:ascii="Times New Roman" w:eastAsia="SimSun" w:hAnsi="Times New Roman" w:cs="Times New Roman"/>
          <w:b/>
          <w:sz w:val="32"/>
          <w:szCs w:val="32"/>
          <w:lang w:val="en-GB" w:eastAsia="zh-CN"/>
        </w:rPr>
        <w:t>Ear</w:t>
      </w:r>
      <w:r w:rsidR="00C44E79" w:rsidRPr="00CD4E42">
        <w:rPr>
          <w:rFonts w:ascii="Times New Roman" w:eastAsia="SimSun" w:hAnsi="Times New Roman" w:cs="Times New Roman"/>
          <w:b/>
          <w:sz w:val="32"/>
          <w:szCs w:val="32"/>
          <w:lang w:val="en-GB" w:eastAsia="zh-CN"/>
        </w:rPr>
        <w:t>l</w:t>
      </w:r>
      <w:r w:rsidRPr="00CD4E42">
        <w:rPr>
          <w:rFonts w:ascii="Times New Roman" w:eastAsia="SimSun" w:hAnsi="Times New Roman" w:cs="Times New Roman"/>
          <w:b/>
          <w:sz w:val="32"/>
          <w:szCs w:val="32"/>
          <w:lang w:val="en-GB" w:eastAsia="zh-CN"/>
        </w:rPr>
        <w:t>y TA Acquisition</w:t>
      </w:r>
    </w:p>
    <w:p w14:paraId="22957C44" w14:textId="518E8D6D" w:rsidR="0014437B" w:rsidRPr="0014437B" w:rsidRDefault="0014437B" w:rsidP="00A21180">
      <w:pPr>
        <w:rPr>
          <w:rFonts w:ascii="Garamond" w:hAnsi="Garamond"/>
          <w:sz w:val="20"/>
          <w:szCs w:val="20"/>
        </w:rPr>
      </w:pPr>
      <w:r w:rsidRPr="0014437B">
        <w:rPr>
          <w:rFonts w:ascii="Garamond" w:hAnsi="Garamond"/>
          <w:sz w:val="20"/>
          <w:szCs w:val="20"/>
        </w:rPr>
        <w:t>First, a</w:t>
      </w:r>
      <w:r>
        <w:rPr>
          <w:rFonts w:ascii="Garamond" w:hAnsi="Garamond"/>
          <w:sz w:val="20"/>
          <w:szCs w:val="20"/>
        </w:rPr>
        <w:t>n example</w:t>
      </w:r>
      <w:r w:rsidRPr="0014437B">
        <w:rPr>
          <w:rFonts w:ascii="Garamond" w:hAnsi="Garamond"/>
          <w:sz w:val="20"/>
          <w:szCs w:val="20"/>
        </w:rPr>
        <w:t xml:space="preserve"> message flow is </w:t>
      </w:r>
      <w:r>
        <w:rPr>
          <w:rFonts w:ascii="Garamond" w:hAnsi="Garamond"/>
          <w:sz w:val="20"/>
          <w:szCs w:val="20"/>
        </w:rPr>
        <w:t xml:space="preserve">used to </w:t>
      </w:r>
      <w:r w:rsidR="00A62E72">
        <w:rPr>
          <w:rFonts w:ascii="Garamond" w:hAnsi="Garamond"/>
          <w:sz w:val="20"/>
          <w:szCs w:val="20"/>
        </w:rPr>
        <w:t xml:space="preserve">establish </w:t>
      </w:r>
      <w:r>
        <w:rPr>
          <w:rFonts w:ascii="Garamond" w:hAnsi="Garamond"/>
          <w:sz w:val="20"/>
          <w:szCs w:val="20"/>
        </w:rPr>
        <w:t>common understanding</w:t>
      </w:r>
      <w:r w:rsidRPr="0014437B">
        <w:rPr>
          <w:rFonts w:ascii="Garamond" w:hAnsi="Garamond"/>
          <w:sz w:val="20"/>
          <w:szCs w:val="20"/>
        </w:rPr>
        <w:t xml:space="preserve">: In </w:t>
      </w:r>
      <w:r w:rsidRPr="0014437B">
        <w:rPr>
          <w:rFonts w:ascii="Garamond" w:hAnsi="Garamond"/>
          <w:sz w:val="20"/>
          <w:szCs w:val="20"/>
        </w:rPr>
        <w:fldChar w:fldCharType="begin"/>
      </w:r>
      <w:r w:rsidRPr="0014437B">
        <w:rPr>
          <w:rFonts w:ascii="Garamond" w:hAnsi="Garamond"/>
          <w:sz w:val="20"/>
          <w:szCs w:val="20"/>
        </w:rPr>
        <w:instrText xml:space="preserve"> REF _Ref117850626 \h  \* MERGEFORMAT </w:instrText>
      </w:r>
      <w:r w:rsidRPr="0014437B">
        <w:rPr>
          <w:rFonts w:ascii="Garamond" w:hAnsi="Garamond"/>
          <w:sz w:val="20"/>
          <w:szCs w:val="20"/>
        </w:rPr>
      </w:r>
      <w:r w:rsidRPr="0014437B">
        <w:rPr>
          <w:rFonts w:ascii="Garamond" w:hAnsi="Garamond"/>
          <w:sz w:val="20"/>
          <w:szCs w:val="20"/>
        </w:rPr>
        <w:fldChar w:fldCharType="separate"/>
      </w:r>
      <w:r w:rsidR="00A21180" w:rsidRPr="00A21180">
        <w:rPr>
          <w:rFonts w:ascii="Garamond" w:hAnsi="Garamond"/>
          <w:sz w:val="20"/>
          <w:szCs w:val="20"/>
        </w:rPr>
        <w:t xml:space="preserve">Figure </w:t>
      </w:r>
      <w:r w:rsidR="00A21180" w:rsidRPr="00A21180">
        <w:rPr>
          <w:rFonts w:ascii="Garamond" w:hAnsi="Garamond"/>
          <w:noProof/>
          <w:sz w:val="20"/>
          <w:szCs w:val="20"/>
        </w:rPr>
        <w:t>1</w:t>
      </w:r>
      <w:r w:rsidRPr="0014437B">
        <w:rPr>
          <w:rFonts w:ascii="Garamond" w:hAnsi="Garamond"/>
          <w:sz w:val="20"/>
          <w:szCs w:val="20"/>
        </w:rPr>
        <w:fldChar w:fldCharType="end"/>
      </w:r>
      <w:r w:rsidRPr="0014437B">
        <w:rPr>
          <w:rFonts w:ascii="Garamond" w:hAnsi="Garamond"/>
          <w:sz w:val="20"/>
          <w:szCs w:val="20"/>
        </w:rPr>
        <w:t xml:space="preserve">, a RRC Connected UE </w:t>
      </w:r>
      <w:r w:rsidR="00A62E72">
        <w:rPr>
          <w:rFonts w:ascii="Garamond" w:hAnsi="Garamond"/>
          <w:sz w:val="20"/>
          <w:szCs w:val="20"/>
        </w:rPr>
        <w:t xml:space="preserve">performs preliminary </w:t>
      </w:r>
      <w:r w:rsidRPr="0014437B">
        <w:rPr>
          <w:rFonts w:ascii="Garamond" w:hAnsi="Garamond"/>
          <w:sz w:val="20"/>
          <w:szCs w:val="20"/>
        </w:rPr>
        <w:t xml:space="preserve">measurement </w:t>
      </w:r>
      <w:r w:rsidR="00A62E72">
        <w:rPr>
          <w:rFonts w:ascii="Garamond" w:hAnsi="Garamond"/>
          <w:sz w:val="20"/>
          <w:szCs w:val="20"/>
        </w:rPr>
        <w:t xml:space="preserve">reporting (based on a RRC measurement configuration), and after receiving the measurement </w:t>
      </w:r>
      <w:r w:rsidRPr="0014437B">
        <w:rPr>
          <w:rFonts w:ascii="Garamond" w:hAnsi="Garamond"/>
          <w:sz w:val="20"/>
          <w:szCs w:val="20"/>
        </w:rPr>
        <w:t xml:space="preserve">result from the UE, serving cell sends a </w:t>
      </w:r>
      <w:r w:rsidR="00A62E72">
        <w:rPr>
          <w:rFonts w:ascii="Garamond" w:hAnsi="Garamond"/>
          <w:sz w:val="20"/>
          <w:szCs w:val="20"/>
        </w:rPr>
        <w:t>f</w:t>
      </w:r>
      <w:r w:rsidRPr="0014437B">
        <w:rPr>
          <w:rFonts w:ascii="Garamond" w:hAnsi="Garamond"/>
          <w:sz w:val="20"/>
          <w:szCs w:val="20"/>
        </w:rPr>
        <w:t>irst-RRC-Reconfiguration. A L1/L2 inter-cell mobility candidate configuration is received within this RRC message.</w:t>
      </w:r>
    </w:p>
    <w:p w14:paraId="5BCCFC04" w14:textId="77777777" w:rsidR="0014437B" w:rsidRDefault="0014437B" w:rsidP="0014437B"/>
    <w:p w14:paraId="61ED11F3" w14:textId="6CD14170" w:rsidR="0014437B" w:rsidRDefault="00B81D64" w:rsidP="0014437B">
      <w:pPr>
        <w:keepNext/>
        <w:jc w:val="center"/>
      </w:pPr>
      <w:r>
        <w:object w:dxaOrig="13381" w:dyaOrig="9857" w14:anchorId="54E938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45.6pt" o:ole="">
            <v:imagedata r:id="rId8" o:title=""/>
          </v:shape>
          <o:OLEObject Type="Embed" ProgID="Visio.Drawing.15" ShapeID="_x0000_i1025" DrawAspect="Content" ObjectID="_1738067975" r:id="rId9"/>
        </w:object>
      </w:r>
    </w:p>
    <w:p w14:paraId="5ED671B7" w14:textId="125E11B8" w:rsidR="0014437B" w:rsidRDefault="0014437B" w:rsidP="0014437B">
      <w:pPr>
        <w:pStyle w:val="Caption"/>
        <w:jc w:val="center"/>
      </w:pPr>
      <w:bookmarkStart w:id="3" w:name="_Ref117850626"/>
      <w:r>
        <w:t xml:space="preserve">Figure </w:t>
      </w:r>
      <w:r>
        <w:fldChar w:fldCharType="begin"/>
      </w:r>
      <w:r>
        <w:instrText xml:space="preserve"> SEQ Figure \* ARABIC </w:instrText>
      </w:r>
      <w:r>
        <w:fldChar w:fldCharType="separate"/>
      </w:r>
      <w:r w:rsidR="00A21180">
        <w:rPr>
          <w:noProof/>
        </w:rPr>
        <w:t>1</w:t>
      </w:r>
      <w:r>
        <w:fldChar w:fldCharType="end"/>
      </w:r>
      <w:bookmarkEnd w:id="3"/>
      <w:r>
        <w:t>: L1 L2 inter-cell mobility</w:t>
      </w:r>
    </w:p>
    <w:p w14:paraId="1F0D1946" w14:textId="77777777" w:rsidR="009D4859" w:rsidRDefault="009D4859" w:rsidP="0014437B">
      <w:pPr>
        <w:rPr>
          <w:rFonts w:ascii="Garamond" w:hAnsi="Garamond"/>
          <w:sz w:val="20"/>
          <w:szCs w:val="20"/>
          <w:lang w:val="en-GB"/>
        </w:rPr>
      </w:pPr>
    </w:p>
    <w:p w14:paraId="63D55C89" w14:textId="048DCD02" w:rsidR="0014437B" w:rsidRPr="00E735A9" w:rsidRDefault="00090826" w:rsidP="0014437B">
      <w:pPr>
        <w:rPr>
          <w:rFonts w:ascii="Garamond" w:hAnsi="Garamond"/>
          <w:sz w:val="20"/>
          <w:szCs w:val="20"/>
          <w:lang w:val="en-GB"/>
        </w:rPr>
      </w:pPr>
      <w:r w:rsidRPr="00E735A9">
        <w:rPr>
          <w:rFonts w:ascii="Garamond" w:hAnsi="Garamond"/>
          <w:sz w:val="20"/>
          <w:szCs w:val="20"/>
          <w:lang w:val="en-GB"/>
        </w:rPr>
        <w:t xml:space="preserve">In the </w:t>
      </w:r>
      <w:r w:rsidR="006305A0" w:rsidRPr="00E735A9">
        <w:rPr>
          <w:rFonts w:ascii="Garamond" w:hAnsi="Garamond"/>
          <w:sz w:val="20"/>
          <w:szCs w:val="20"/>
          <w:lang w:val="en-GB"/>
        </w:rPr>
        <w:t xml:space="preserve">Approach presented </w:t>
      </w:r>
      <w:r w:rsidRPr="00E735A9">
        <w:rPr>
          <w:rFonts w:ascii="Garamond" w:hAnsi="Garamond"/>
          <w:sz w:val="20"/>
          <w:szCs w:val="20"/>
          <w:lang w:val="en-GB"/>
        </w:rPr>
        <w:t>above in</w:t>
      </w:r>
      <w:r w:rsidR="006B2C55" w:rsidRPr="00E735A9">
        <w:rPr>
          <w:rFonts w:ascii="Garamond" w:hAnsi="Garamond"/>
          <w:sz w:val="20"/>
          <w:szCs w:val="20"/>
          <w:lang w:val="en-GB"/>
        </w:rPr>
        <w:t xml:space="preserve"> </w:t>
      </w:r>
      <w:r w:rsidR="006B2C55" w:rsidRPr="00E735A9">
        <w:rPr>
          <w:rFonts w:ascii="Garamond" w:hAnsi="Garamond"/>
          <w:sz w:val="20"/>
          <w:szCs w:val="20"/>
          <w:lang w:val="en-GB"/>
        </w:rPr>
        <w:fldChar w:fldCharType="begin"/>
      </w:r>
      <w:r w:rsidR="006B2C55" w:rsidRPr="00E735A9">
        <w:rPr>
          <w:rFonts w:ascii="Garamond" w:hAnsi="Garamond"/>
          <w:sz w:val="20"/>
          <w:szCs w:val="20"/>
          <w:lang w:val="en-GB"/>
        </w:rPr>
        <w:instrText xml:space="preserve"> REF _Ref117850626 \h </w:instrText>
      </w:r>
      <w:r w:rsidR="00E735A9" w:rsidRPr="00E735A9">
        <w:rPr>
          <w:rFonts w:ascii="Garamond" w:hAnsi="Garamond"/>
          <w:sz w:val="20"/>
          <w:szCs w:val="20"/>
          <w:lang w:val="en-GB"/>
        </w:rPr>
        <w:instrText xml:space="preserve"> \* MERGEFORMAT </w:instrText>
      </w:r>
      <w:r w:rsidR="006B2C55" w:rsidRPr="00E735A9">
        <w:rPr>
          <w:rFonts w:ascii="Garamond" w:hAnsi="Garamond"/>
          <w:sz w:val="20"/>
          <w:szCs w:val="20"/>
          <w:lang w:val="en-GB"/>
        </w:rPr>
      </w:r>
      <w:r w:rsidR="006B2C55" w:rsidRPr="00E735A9">
        <w:rPr>
          <w:rFonts w:ascii="Garamond" w:hAnsi="Garamond"/>
          <w:sz w:val="20"/>
          <w:szCs w:val="20"/>
          <w:lang w:val="en-GB"/>
        </w:rPr>
        <w:fldChar w:fldCharType="separate"/>
      </w:r>
      <w:r w:rsidR="006B2C55" w:rsidRPr="00E735A9">
        <w:rPr>
          <w:rFonts w:ascii="Garamond" w:hAnsi="Garamond"/>
          <w:sz w:val="20"/>
          <w:szCs w:val="20"/>
        </w:rPr>
        <w:t xml:space="preserve">Figure </w:t>
      </w:r>
      <w:r w:rsidR="006B2C55" w:rsidRPr="00E735A9">
        <w:rPr>
          <w:rFonts w:ascii="Garamond" w:hAnsi="Garamond"/>
          <w:noProof/>
          <w:sz w:val="20"/>
          <w:szCs w:val="20"/>
        </w:rPr>
        <w:t>1</w:t>
      </w:r>
      <w:r w:rsidR="006B2C55" w:rsidRPr="00E735A9">
        <w:rPr>
          <w:rFonts w:ascii="Garamond" w:hAnsi="Garamond"/>
          <w:sz w:val="20"/>
          <w:szCs w:val="20"/>
          <w:lang w:val="en-GB"/>
        </w:rPr>
        <w:fldChar w:fldCharType="end"/>
      </w:r>
      <w:r w:rsidR="006305A0" w:rsidRPr="00E735A9">
        <w:rPr>
          <w:rFonts w:ascii="Garamond" w:hAnsi="Garamond"/>
          <w:sz w:val="20"/>
          <w:szCs w:val="20"/>
          <w:lang w:val="en-GB"/>
        </w:rPr>
        <w:t>, the Early TA acquisition is configured by the first-RRC-Reconfiguration message directly. To this end, the first-RRC-Reconfiguration message contains an ordered list of candidate cells and the corresponding resources (PRACH/ UL RS). The UE starts with Early TA acquisition starting with the first candidate in the ordered list.</w:t>
      </w:r>
    </w:p>
    <w:p w14:paraId="693AD89C" w14:textId="77777777" w:rsidR="00255DD3" w:rsidRDefault="0004505D" w:rsidP="0014437B">
      <w:pPr>
        <w:rPr>
          <w:rFonts w:ascii="Garamond" w:hAnsi="Garamond"/>
          <w:sz w:val="20"/>
          <w:szCs w:val="20"/>
        </w:rPr>
      </w:pPr>
      <w:r w:rsidRPr="00255DD3">
        <w:rPr>
          <w:rFonts w:ascii="Garamond" w:hAnsi="Garamond"/>
          <w:b/>
          <w:bCs/>
          <w:u w:val="single"/>
        </w:rPr>
        <w:t>Restricting Early TA procedures to a minimum</w:t>
      </w:r>
      <w:r w:rsidRPr="0004505D">
        <w:rPr>
          <w:rFonts w:ascii="Garamond" w:hAnsi="Garamond"/>
          <w:b/>
          <w:bCs/>
          <w:sz w:val="20"/>
          <w:szCs w:val="20"/>
          <w:u w:val="single"/>
        </w:rPr>
        <w:t>:</w:t>
      </w:r>
      <w:r>
        <w:rPr>
          <w:rFonts w:ascii="Garamond" w:hAnsi="Garamond"/>
          <w:sz w:val="20"/>
          <w:szCs w:val="20"/>
        </w:rPr>
        <w:t xml:space="preserve"> </w:t>
      </w:r>
    </w:p>
    <w:p w14:paraId="434B2471" w14:textId="0731A248" w:rsidR="0004505D" w:rsidRDefault="0004505D" w:rsidP="0014437B">
      <w:pPr>
        <w:rPr>
          <w:rFonts w:ascii="Garamond" w:hAnsi="Garamond"/>
          <w:sz w:val="20"/>
          <w:szCs w:val="20"/>
        </w:rPr>
      </w:pPr>
      <w:r>
        <w:rPr>
          <w:rFonts w:ascii="Garamond" w:hAnsi="Garamond"/>
          <w:sz w:val="20"/>
          <w:szCs w:val="20"/>
        </w:rPr>
        <w:t>A gNB (CU) may have 1000s of cells</w:t>
      </w:r>
      <w:r>
        <w:rPr>
          <w:rStyle w:val="FootnoteReference"/>
          <w:rFonts w:ascii="Garamond" w:hAnsi="Garamond"/>
          <w:sz w:val="20"/>
          <w:szCs w:val="20"/>
        </w:rPr>
        <w:footnoteReference w:id="1"/>
      </w:r>
      <w:r>
        <w:rPr>
          <w:rFonts w:ascii="Garamond" w:hAnsi="Garamond"/>
          <w:sz w:val="20"/>
          <w:szCs w:val="20"/>
        </w:rPr>
        <w:t xml:space="preserve"> in its area and even the candidate cells included in the first</w:t>
      </w:r>
      <w:r w:rsidRPr="00280E9E">
        <w:rPr>
          <w:rFonts w:ascii="Garamond" w:hAnsi="Garamond"/>
          <w:sz w:val="20"/>
          <w:szCs w:val="20"/>
        </w:rPr>
        <w:t>-RRC-Reconfiguration</w:t>
      </w:r>
      <w:r>
        <w:rPr>
          <w:rFonts w:ascii="Garamond" w:hAnsi="Garamond"/>
          <w:sz w:val="20"/>
          <w:szCs w:val="20"/>
        </w:rPr>
        <w:t xml:space="preserve"> can </w:t>
      </w:r>
      <w:r w:rsidR="00A36201">
        <w:rPr>
          <w:rFonts w:ascii="Garamond" w:hAnsi="Garamond"/>
          <w:sz w:val="20"/>
          <w:szCs w:val="20"/>
        </w:rPr>
        <w:t xml:space="preserve">contain </w:t>
      </w:r>
      <w:r>
        <w:rPr>
          <w:rFonts w:ascii="Garamond" w:hAnsi="Garamond"/>
          <w:sz w:val="20"/>
          <w:szCs w:val="20"/>
        </w:rPr>
        <w:t>like 8</w:t>
      </w:r>
      <w:r w:rsidR="00A36201">
        <w:rPr>
          <w:rFonts w:ascii="Garamond" w:hAnsi="Garamond"/>
          <w:sz w:val="20"/>
          <w:szCs w:val="20"/>
        </w:rPr>
        <w:t xml:space="preserve"> cells.</w:t>
      </w:r>
      <w:r>
        <w:rPr>
          <w:rFonts w:ascii="Garamond" w:hAnsi="Garamond"/>
          <w:sz w:val="20"/>
          <w:szCs w:val="20"/>
        </w:rPr>
        <w:t xml:space="preserve"> Therefore, the early TA acquisition for all candidate cells included in the first</w:t>
      </w:r>
      <w:r w:rsidRPr="00280E9E">
        <w:rPr>
          <w:rFonts w:ascii="Garamond" w:hAnsi="Garamond"/>
          <w:sz w:val="20"/>
          <w:szCs w:val="20"/>
        </w:rPr>
        <w:t>-RRC-Reconfiguration</w:t>
      </w:r>
      <w:r>
        <w:rPr>
          <w:rFonts w:ascii="Garamond" w:hAnsi="Garamond"/>
          <w:sz w:val="20"/>
          <w:szCs w:val="20"/>
        </w:rPr>
        <w:t xml:space="preserve"> message is certainly wasteful for UE battery – and – it might even interrupt ongoing data transmission/ reception with the source cell.</w:t>
      </w:r>
      <w:r w:rsidR="0035054D">
        <w:rPr>
          <w:rFonts w:ascii="Garamond" w:hAnsi="Garamond"/>
          <w:sz w:val="20"/>
          <w:szCs w:val="20"/>
        </w:rPr>
        <w:t xml:space="preserve"> Therefore, we think that </w:t>
      </w:r>
      <w:r w:rsidR="0035054D" w:rsidRPr="0035054D">
        <w:rPr>
          <w:rFonts w:ascii="Garamond" w:hAnsi="Garamond"/>
          <w:sz w:val="20"/>
          <w:szCs w:val="20"/>
        </w:rPr>
        <w:t xml:space="preserve">Early TA </w:t>
      </w:r>
      <w:r w:rsidR="0021010E">
        <w:rPr>
          <w:rFonts w:ascii="Garamond" w:hAnsi="Garamond"/>
          <w:sz w:val="20"/>
          <w:szCs w:val="20"/>
        </w:rPr>
        <w:t xml:space="preserve">acquisition should be limited to a minimum number of </w:t>
      </w:r>
      <w:r w:rsidR="0035054D" w:rsidRPr="0035054D">
        <w:rPr>
          <w:rFonts w:ascii="Garamond" w:hAnsi="Garamond"/>
          <w:sz w:val="20"/>
          <w:szCs w:val="20"/>
        </w:rPr>
        <w:t>candidate cell</w:t>
      </w:r>
      <w:r w:rsidR="0021010E">
        <w:rPr>
          <w:rFonts w:ascii="Garamond" w:hAnsi="Garamond"/>
          <w:sz w:val="20"/>
          <w:szCs w:val="20"/>
        </w:rPr>
        <w:t>s</w:t>
      </w:r>
      <w:r w:rsidR="0035054D">
        <w:rPr>
          <w:rFonts w:ascii="Garamond" w:hAnsi="Garamond"/>
          <w:sz w:val="20"/>
          <w:szCs w:val="20"/>
        </w:rPr>
        <w:t>.</w:t>
      </w:r>
    </w:p>
    <w:p w14:paraId="02FDD300" w14:textId="359A7FC2" w:rsidR="00A36201" w:rsidRPr="00A36201" w:rsidRDefault="008E7A87">
      <w:pPr>
        <w:pStyle w:val="Proposal"/>
        <w:rPr>
          <w:rFonts w:ascii="Garamond" w:hAnsi="Garamond"/>
        </w:rPr>
      </w:pPr>
      <w:r>
        <w:rPr>
          <w:rFonts w:ascii="Garamond" w:hAnsi="Garamond"/>
        </w:rPr>
        <w:t xml:space="preserve">Network shall configure </w:t>
      </w:r>
      <w:r w:rsidR="00A36201" w:rsidRPr="00A36201">
        <w:rPr>
          <w:rFonts w:ascii="Garamond" w:hAnsi="Garamond"/>
        </w:rPr>
        <w:t xml:space="preserve">Early TA </w:t>
      </w:r>
      <w:r>
        <w:rPr>
          <w:rFonts w:ascii="Garamond" w:hAnsi="Garamond"/>
        </w:rPr>
        <w:t xml:space="preserve">acquisition </w:t>
      </w:r>
      <w:r w:rsidR="00A36201" w:rsidRPr="00A36201">
        <w:rPr>
          <w:rFonts w:ascii="Garamond" w:hAnsi="Garamond"/>
        </w:rPr>
        <w:t>for bare minimum candidate cell</w:t>
      </w:r>
      <w:r w:rsidR="00B03158">
        <w:rPr>
          <w:rFonts w:ascii="Garamond" w:hAnsi="Garamond"/>
        </w:rPr>
        <w:t>s</w:t>
      </w:r>
      <w:r w:rsidR="00A36201" w:rsidRPr="00A36201">
        <w:rPr>
          <w:rFonts w:ascii="Garamond" w:hAnsi="Garamond"/>
        </w:rPr>
        <w:t>.</w:t>
      </w:r>
      <w:r w:rsidR="00B57B8B">
        <w:rPr>
          <w:rFonts w:ascii="Garamond" w:hAnsi="Garamond"/>
        </w:rPr>
        <w:t xml:space="preserve"> FFS: the exact value e.g., 2.</w:t>
      </w:r>
    </w:p>
    <w:p w14:paraId="11526229" w14:textId="03CC2DB5" w:rsidR="001676A5" w:rsidRDefault="001676A5" w:rsidP="0014437B">
      <w:pPr>
        <w:rPr>
          <w:rFonts w:ascii="Garamond" w:hAnsi="Garamond"/>
          <w:sz w:val="20"/>
          <w:szCs w:val="20"/>
        </w:rPr>
      </w:pPr>
      <w:r>
        <w:rPr>
          <w:rFonts w:ascii="Garamond" w:hAnsi="Garamond"/>
          <w:sz w:val="20"/>
          <w:szCs w:val="20"/>
        </w:rPr>
        <w:t>As one possibility</w:t>
      </w:r>
      <w:r w:rsidR="0014437B" w:rsidRPr="00280E9E">
        <w:rPr>
          <w:rFonts w:ascii="Garamond" w:hAnsi="Garamond"/>
          <w:sz w:val="20"/>
          <w:szCs w:val="20"/>
        </w:rPr>
        <w:t xml:space="preserve">, network </w:t>
      </w:r>
      <w:r>
        <w:rPr>
          <w:rFonts w:ascii="Garamond" w:hAnsi="Garamond"/>
          <w:sz w:val="20"/>
          <w:szCs w:val="20"/>
        </w:rPr>
        <w:t xml:space="preserve">knows/ </w:t>
      </w:r>
      <w:r w:rsidR="0014437B" w:rsidRPr="00280E9E">
        <w:rPr>
          <w:rFonts w:ascii="Garamond" w:hAnsi="Garamond"/>
          <w:sz w:val="20"/>
          <w:szCs w:val="20"/>
        </w:rPr>
        <w:t xml:space="preserve">assumes that a UE is more likely to move in a certain direction and land up on </w:t>
      </w:r>
      <w:r>
        <w:rPr>
          <w:rFonts w:ascii="Garamond" w:hAnsi="Garamond"/>
          <w:sz w:val="20"/>
          <w:szCs w:val="20"/>
        </w:rPr>
        <w:t xml:space="preserve">certain </w:t>
      </w:r>
      <w:r w:rsidR="0014437B" w:rsidRPr="00280E9E">
        <w:rPr>
          <w:rFonts w:ascii="Garamond" w:hAnsi="Garamond"/>
          <w:sz w:val="20"/>
          <w:szCs w:val="20"/>
        </w:rPr>
        <w:t xml:space="preserve">cell(s), UE starts Early TA procedure </w:t>
      </w:r>
      <w:r>
        <w:rPr>
          <w:rFonts w:ascii="Garamond" w:hAnsi="Garamond"/>
          <w:sz w:val="20"/>
          <w:szCs w:val="20"/>
        </w:rPr>
        <w:t>on this subset of candidate cells</w:t>
      </w:r>
      <w:r w:rsidR="0014437B" w:rsidRPr="00280E9E">
        <w:rPr>
          <w:rFonts w:ascii="Garamond" w:hAnsi="Garamond"/>
          <w:sz w:val="20"/>
          <w:szCs w:val="20"/>
        </w:rPr>
        <w:t>, starting with the first one</w:t>
      </w:r>
      <w:r w:rsidR="00C935B6">
        <w:rPr>
          <w:rFonts w:ascii="Garamond" w:hAnsi="Garamond"/>
          <w:sz w:val="20"/>
          <w:szCs w:val="20"/>
        </w:rPr>
        <w:t xml:space="preserve"> selected from the subset</w:t>
      </w:r>
      <w:r w:rsidR="0014437B" w:rsidRPr="00280E9E">
        <w:rPr>
          <w:rFonts w:ascii="Garamond" w:hAnsi="Garamond"/>
          <w:sz w:val="20"/>
          <w:szCs w:val="20"/>
        </w:rPr>
        <w:t>.</w:t>
      </w:r>
      <w:r w:rsidR="005C21DB">
        <w:rPr>
          <w:rFonts w:ascii="Garamond" w:hAnsi="Garamond"/>
          <w:sz w:val="20"/>
          <w:szCs w:val="20"/>
        </w:rPr>
        <w:t xml:space="preserve"> Network may for example explicitly indicate within the </w:t>
      </w:r>
      <w:r w:rsidR="00BD0119">
        <w:rPr>
          <w:rFonts w:ascii="Garamond" w:hAnsi="Garamond"/>
          <w:sz w:val="20"/>
          <w:szCs w:val="20"/>
        </w:rPr>
        <w:t>RRC</w:t>
      </w:r>
      <w:r w:rsidR="005C21DB" w:rsidRPr="0014437B">
        <w:rPr>
          <w:rFonts w:ascii="Garamond" w:hAnsi="Garamond"/>
          <w:sz w:val="20"/>
          <w:szCs w:val="20"/>
        </w:rPr>
        <w:t xml:space="preserve"> </w:t>
      </w:r>
      <w:r w:rsidR="00C935B6">
        <w:rPr>
          <w:rFonts w:ascii="Garamond" w:hAnsi="Garamond"/>
          <w:sz w:val="20"/>
          <w:szCs w:val="20"/>
        </w:rPr>
        <w:t>re</w:t>
      </w:r>
      <w:r w:rsidR="005C21DB" w:rsidRPr="0014437B">
        <w:rPr>
          <w:rFonts w:ascii="Garamond" w:hAnsi="Garamond"/>
          <w:sz w:val="20"/>
          <w:szCs w:val="20"/>
        </w:rPr>
        <w:t>configuration</w:t>
      </w:r>
      <w:r w:rsidR="005C21DB">
        <w:rPr>
          <w:rFonts w:ascii="Garamond" w:hAnsi="Garamond"/>
          <w:sz w:val="20"/>
          <w:szCs w:val="20"/>
        </w:rPr>
        <w:t xml:space="preserve"> message for which of the candidate cells UE shall initiate the early TA acquisition procedure. </w:t>
      </w:r>
      <w:r w:rsidR="0049358A">
        <w:rPr>
          <w:rFonts w:ascii="Garamond" w:hAnsi="Garamond"/>
          <w:sz w:val="20"/>
          <w:szCs w:val="20"/>
        </w:rPr>
        <w:t xml:space="preserve">Further, </w:t>
      </w:r>
      <w:r w:rsidR="0049358A" w:rsidRPr="0049358A">
        <w:rPr>
          <w:rFonts w:ascii="Garamond" w:hAnsi="Garamond"/>
          <w:sz w:val="20"/>
          <w:szCs w:val="20"/>
        </w:rPr>
        <w:t xml:space="preserve">the candidate cells may be arranged in </w:t>
      </w:r>
      <w:r w:rsidR="0049358A" w:rsidRPr="0049358A">
        <w:rPr>
          <w:rFonts w:ascii="Garamond" w:hAnsi="Garamond"/>
          <w:sz w:val="20"/>
          <w:szCs w:val="20"/>
        </w:rPr>
        <w:lastRenderedPageBreak/>
        <w:t>groups – similar to Timing Alignment Groups used for serving cells – so that a UE need not perform Early-TA for each individual candidate cells – but only once per group</w:t>
      </w:r>
      <w:r w:rsidR="0049358A">
        <w:rPr>
          <w:rFonts w:ascii="Garamond" w:hAnsi="Garamond"/>
          <w:sz w:val="20"/>
          <w:szCs w:val="20"/>
        </w:rPr>
        <w:t>.</w:t>
      </w:r>
    </w:p>
    <w:p w14:paraId="2CEFCC89" w14:textId="417598E3" w:rsidR="00C47A75" w:rsidRDefault="001676A5" w:rsidP="0014437B">
      <w:pPr>
        <w:rPr>
          <w:rFonts w:ascii="Garamond" w:hAnsi="Garamond"/>
          <w:sz w:val="20"/>
          <w:szCs w:val="20"/>
        </w:rPr>
      </w:pPr>
      <w:r>
        <w:rPr>
          <w:rFonts w:ascii="Garamond" w:hAnsi="Garamond"/>
          <w:sz w:val="20"/>
          <w:szCs w:val="20"/>
        </w:rPr>
        <w:t>As another possibility, t</w:t>
      </w:r>
      <w:r w:rsidR="0014437B" w:rsidRPr="00280E9E">
        <w:rPr>
          <w:rFonts w:ascii="Garamond" w:hAnsi="Garamond"/>
          <w:sz w:val="20"/>
          <w:szCs w:val="20"/>
        </w:rPr>
        <w:t>wo radio thresholds for two corresponding measurement events are configured in reporting configuration: a first</w:t>
      </w:r>
      <w:r>
        <w:rPr>
          <w:rFonts w:ascii="Garamond" w:hAnsi="Garamond"/>
          <w:sz w:val="20"/>
          <w:szCs w:val="20"/>
        </w:rPr>
        <w:t xml:space="preserve"> threshold</w:t>
      </w:r>
      <w:r w:rsidR="0014437B" w:rsidRPr="00280E9E">
        <w:rPr>
          <w:rFonts w:ascii="Garamond" w:hAnsi="Garamond"/>
          <w:sz w:val="20"/>
          <w:szCs w:val="20"/>
        </w:rPr>
        <w:t xml:space="preserve"> for initiating Early TA, in addition to the legacy one which is used to trigger measurement reporting to gNB. The first threshold/ measurement event triggers the UE to initiate Early TA procedure with a cell fulfilling this threshold but may not trigger measurement reporting to the serving cell. But when the legacy threshold/ measurement event is (also) met/ triggered, UE initiates measurement reporting to the source cell, including also an indication confirming if an Early TA has been obtained for the corresponding reported cell</w:t>
      </w:r>
      <w:r w:rsidR="00C47A75">
        <w:rPr>
          <w:rFonts w:ascii="Garamond" w:hAnsi="Garamond"/>
          <w:sz w:val="20"/>
          <w:szCs w:val="20"/>
        </w:rPr>
        <w:t>, if RACH based TA acquisition is used and UE receives a RAR for itself</w:t>
      </w:r>
      <w:r w:rsidR="0014437B" w:rsidRPr="00280E9E">
        <w:rPr>
          <w:rFonts w:ascii="Garamond" w:hAnsi="Garamond"/>
          <w:sz w:val="20"/>
          <w:szCs w:val="20"/>
        </w:rPr>
        <w:t xml:space="preserve">. </w:t>
      </w:r>
      <w:r w:rsidR="00C47A75">
        <w:rPr>
          <w:rFonts w:ascii="Garamond" w:hAnsi="Garamond"/>
          <w:sz w:val="20"/>
          <w:szCs w:val="20"/>
        </w:rPr>
        <w:t>This information about “TA availability” can also be provided separately and depends on how the measurement reporting is done e.g., in L1 or L2 reporting.</w:t>
      </w:r>
    </w:p>
    <w:p w14:paraId="09242D0A" w14:textId="6B155877" w:rsidR="001676A5" w:rsidRDefault="0014437B" w:rsidP="0014437B">
      <w:pPr>
        <w:rPr>
          <w:rFonts w:ascii="Garamond" w:hAnsi="Garamond"/>
          <w:sz w:val="20"/>
          <w:szCs w:val="20"/>
        </w:rPr>
      </w:pPr>
      <w:r w:rsidRPr="00280E9E">
        <w:rPr>
          <w:rFonts w:ascii="Garamond" w:hAnsi="Garamond"/>
          <w:sz w:val="20"/>
          <w:szCs w:val="20"/>
        </w:rPr>
        <w:t xml:space="preserve">When the legacy threshold/ measurement event is met/ triggered, UE reports it immediately without waiting for the ongoing Early TA procedure, which may continue. </w:t>
      </w:r>
    </w:p>
    <w:p w14:paraId="259EFAD2" w14:textId="6EF4C7A1" w:rsidR="00CE7E47" w:rsidRDefault="00CE7E47" w:rsidP="0014437B">
      <w:pPr>
        <w:rPr>
          <w:rFonts w:ascii="Garamond" w:hAnsi="Garamond"/>
          <w:sz w:val="20"/>
          <w:szCs w:val="20"/>
        </w:rPr>
      </w:pPr>
      <w:r>
        <w:rPr>
          <w:rFonts w:ascii="Garamond" w:hAnsi="Garamond"/>
          <w:sz w:val="20"/>
          <w:szCs w:val="20"/>
        </w:rPr>
        <w:t xml:space="preserve">Both the above possibilities have pros and cons. While the first one is simpler to implement, the second one is more radio aware. </w:t>
      </w:r>
      <w:r w:rsidR="00186728">
        <w:rPr>
          <w:rFonts w:ascii="Garamond" w:hAnsi="Garamond"/>
          <w:sz w:val="20"/>
          <w:szCs w:val="20"/>
        </w:rPr>
        <w:t>So</w:t>
      </w:r>
      <w:r>
        <w:rPr>
          <w:rFonts w:ascii="Garamond" w:hAnsi="Garamond"/>
          <w:sz w:val="20"/>
          <w:szCs w:val="20"/>
        </w:rPr>
        <w:t>, this topic can benefit from further discussions.</w:t>
      </w:r>
    </w:p>
    <w:p w14:paraId="20EB0E68" w14:textId="2BFEB642" w:rsidR="00CE7E47" w:rsidRDefault="00CE7E47">
      <w:pPr>
        <w:pStyle w:val="Proposal"/>
        <w:rPr>
          <w:rFonts w:ascii="Garamond" w:hAnsi="Garamond"/>
        </w:rPr>
      </w:pPr>
      <w:r>
        <w:rPr>
          <w:rFonts w:ascii="Garamond" w:hAnsi="Garamond"/>
        </w:rPr>
        <w:t xml:space="preserve">RAN2 discuss means to shortlist candidate cells for the </w:t>
      </w:r>
      <w:r w:rsidRPr="00CE7E47">
        <w:rPr>
          <w:rFonts w:ascii="Garamond" w:hAnsi="Garamond"/>
        </w:rPr>
        <w:t>Early TA</w:t>
      </w:r>
      <w:r>
        <w:rPr>
          <w:rFonts w:ascii="Garamond" w:hAnsi="Garamond"/>
        </w:rPr>
        <w:t xml:space="preserve"> acquisition.</w:t>
      </w:r>
    </w:p>
    <w:p w14:paraId="075EC6ED" w14:textId="77777777" w:rsidR="00237E9C" w:rsidRDefault="00237E9C" w:rsidP="00237E9C">
      <w:pPr>
        <w:pStyle w:val="Proposal"/>
        <w:numPr>
          <w:ilvl w:val="0"/>
          <w:numId w:val="0"/>
        </w:numPr>
        <w:rPr>
          <w:rFonts w:ascii="Garamond" w:hAnsi="Garamond"/>
        </w:rPr>
      </w:pPr>
      <w:bookmarkStart w:id="4" w:name="_Hlk118269482"/>
    </w:p>
    <w:p w14:paraId="12DD3362" w14:textId="77777777" w:rsidR="007634DD" w:rsidRDefault="007634DD" w:rsidP="000B7436">
      <w:pPr>
        <w:pStyle w:val="Heading2"/>
      </w:pPr>
    </w:p>
    <w:p w14:paraId="4A8F8278" w14:textId="39F8A4F6" w:rsidR="00237E9C" w:rsidRDefault="00237E9C" w:rsidP="000B7436">
      <w:pPr>
        <w:pStyle w:val="Heading2"/>
      </w:pPr>
      <w:r>
        <w:t>For RACH based Early TA acquisition</w:t>
      </w:r>
      <w:r w:rsidR="00574E91">
        <w:t>:</w:t>
      </w:r>
    </w:p>
    <w:bookmarkEnd w:id="4"/>
    <w:p w14:paraId="3D885E34" w14:textId="77777777" w:rsidR="00B26B7E" w:rsidRDefault="00B26B7E" w:rsidP="00B26B7E">
      <w:pPr>
        <w:rPr>
          <w:rFonts w:ascii="Garamond" w:hAnsi="Garamond"/>
          <w:sz w:val="20"/>
          <w:szCs w:val="20"/>
          <w:lang w:val="en-GB"/>
        </w:rPr>
      </w:pPr>
    </w:p>
    <w:p w14:paraId="7EB07425" w14:textId="562F9DF8" w:rsidR="00B26B7E" w:rsidRDefault="00F30019" w:rsidP="00B26B7E">
      <w:pPr>
        <w:rPr>
          <w:rFonts w:ascii="Garamond" w:hAnsi="Garamond"/>
          <w:sz w:val="20"/>
          <w:szCs w:val="20"/>
          <w:lang w:val="en-GB"/>
        </w:rPr>
      </w:pPr>
      <w:r>
        <w:rPr>
          <w:rFonts w:ascii="Garamond" w:hAnsi="Garamond"/>
          <w:sz w:val="20"/>
          <w:szCs w:val="20"/>
          <w:lang w:val="en-GB"/>
        </w:rPr>
        <w:t>As proposed in [1], we think a RACH based Early TA acquisition is useful. Here, the UE obtains the TA (N</w:t>
      </w:r>
      <w:r w:rsidRPr="0054781A">
        <w:rPr>
          <w:rFonts w:ascii="Garamond" w:hAnsi="Garamond"/>
          <w:sz w:val="20"/>
          <w:szCs w:val="20"/>
          <w:vertAlign w:val="subscript"/>
          <w:lang w:val="en-GB"/>
        </w:rPr>
        <w:t>TA</w:t>
      </w:r>
      <w:r>
        <w:rPr>
          <w:rFonts w:ascii="Garamond" w:hAnsi="Garamond"/>
          <w:sz w:val="20"/>
          <w:szCs w:val="20"/>
          <w:lang w:val="en-GB"/>
        </w:rPr>
        <w:t xml:space="preserve">) value directly from a target cell in RAR (Msg2) message. </w:t>
      </w:r>
      <w:r w:rsidR="00B26B7E" w:rsidRPr="00980F19">
        <w:rPr>
          <w:rFonts w:ascii="Garamond" w:hAnsi="Garamond"/>
          <w:sz w:val="20"/>
          <w:szCs w:val="20"/>
          <w:lang w:val="en-GB"/>
        </w:rPr>
        <w:t xml:space="preserve">After successfully getting early TA, </w:t>
      </w:r>
      <w:r w:rsidR="00B26B7E">
        <w:rPr>
          <w:rFonts w:ascii="Garamond" w:hAnsi="Garamond"/>
          <w:sz w:val="20"/>
          <w:szCs w:val="20"/>
          <w:lang w:val="en-GB"/>
        </w:rPr>
        <w:t>validity of</w:t>
      </w:r>
      <w:r w:rsidR="00B26B7E" w:rsidRPr="00980F19">
        <w:rPr>
          <w:rFonts w:ascii="Garamond" w:hAnsi="Garamond"/>
          <w:sz w:val="20"/>
          <w:szCs w:val="20"/>
          <w:lang w:val="en-GB"/>
        </w:rPr>
        <w:t xml:space="preserve"> the early TA </w:t>
      </w:r>
      <w:r w:rsidR="00B26B7E">
        <w:rPr>
          <w:rFonts w:ascii="Garamond" w:hAnsi="Garamond"/>
          <w:sz w:val="20"/>
          <w:szCs w:val="20"/>
          <w:lang w:val="en-GB"/>
        </w:rPr>
        <w:t xml:space="preserve">can be controlled using a legacy like </w:t>
      </w:r>
      <w:r w:rsidR="00B26B7E" w:rsidRPr="00122909">
        <w:rPr>
          <w:rFonts w:ascii="Garamond" w:hAnsi="Garamond"/>
          <w:sz w:val="20"/>
          <w:szCs w:val="20"/>
          <w:lang w:val="en-GB"/>
        </w:rPr>
        <w:t>Timer alignment Timer</w:t>
      </w:r>
      <w:r w:rsidR="00B26B7E">
        <w:rPr>
          <w:rFonts w:ascii="Garamond" w:hAnsi="Garamond"/>
          <w:sz w:val="20"/>
          <w:szCs w:val="20"/>
          <w:lang w:val="en-GB"/>
        </w:rPr>
        <w:t xml:space="preserve"> (TAT), where the value is configured per candidate or per group of candidate cell basis in the first-RRC-configuration if a RACH based Early TA acquisition is used.</w:t>
      </w:r>
      <w:r w:rsidR="005037F8">
        <w:rPr>
          <w:rFonts w:ascii="Garamond" w:hAnsi="Garamond"/>
          <w:sz w:val="20"/>
          <w:szCs w:val="20"/>
          <w:lang w:val="en-GB"/>
        </w:rPr>
        <w:t xml:space="preserve"> Also, the UE needs to inform the source cell/ DU whether or not it has been able to acquire an Early TA to enable network to make a mobility decision i.e., to trigger an LTM to a cell satisfying radio measurements and for which UE has already the Early TA, or to trigger legacy mobility to a cell satisfying radio measurements but for which UE has not yet acquired the Early TA. Accordingly, the following proposals are made:</w:t>
      </w:r>
    </w:p>
    <w:p w14:paraId="1F2CA559" w14:textId="77777777" w:rsidR="007C4AB1" w:rsidRDefault="007C4AB1">
      <w:pPr>
        <w:pStyle w:val="Proposal"/>
        <w:rPr>
          <w:rFonts w:ascii="Garamond" w:hAnsi="Garamond"/>
        </w:rPr>
      </w:pPr>
      <w:r>
        <w:rPr>
          <w:rFonts w:ascii="Garamond" w:hAnsi="Garamond"/>
        </w:rPr>
        <w:t xml:space="preserve">UE indicates to the current serving gNB (DU) if an early TA has been acquired (or fails to acquire) for a candidate cell. </w:t>
      </w:r>
    </w:p>
    <w:p w14:paraId="346A027C" w14:textId="45ADD0C8" w:rsidR="007C4AB1" w:rsidRPr="007C4AB1" w:rsidRDefault="007C4AB1">
      <w:pPr>
        <w:pStyle w:val="Proposal"/>
        <w:rPr>
          <w:rFonts w:ascii="Garamond" w:hAnsi="Garamond"/>
        </w:rPr>
      </w:pPr>
      <w:r>
        <w:rPr>
          <w:rFonts w:ascii="Garamond" w:hAnsi="Garamond"/>
        </w:rPr>
        <w:t>UE reports measurement results</w:t>
      </w:r>
      <w:r w:rsidRPr="00280E9E">
        <w:rPr>
          <w:rFonts w:ascii="Garamond" w:hAnsi="Garamond"/>
        </w:rPr>
        <w:t xml:space="preserve"> </w:t>
      </w:r>
      <w:r>
        <w:rPr>
          <w:rFonts w:ascii="Garamond" w:hAnsi="Garamond"/>
        </w:rPr>
        <w:t xml:space="preserve">and may </w:t>
      </w:r>
      <w:r w:rsidRPr="00280E9E">
        <w:rPr>
          <w:rFonts w:ascii="Garamond" w:hAnsi="Garamond"/>
        </w:rPr>
        <w:t>includ</w:t>
      </w:r>
      <w:r>
        <w:rPr>
          <w:rFonts w:ascii="Garamond" w:hAnsi="Garamond"/>
        </w:rPr>
        <w:t>e</w:t>
      </w:r>
      <w:r w:rsidRPr="00280E9E">
        <w:rPr>
          <w:rFonts w:ascii="Garamond" w:hAnsi="Garamond"/>
        </w:rPr>
        <w:t xml:space="preserve"> an indication confirming if an Early TA has been obtained </w:t>
      </w:r>
      <w:r>
        <w:rPr>
          <w:rFonts w:ascii="Garamond" w:hAnsi="Garamond"/>
        </w:rPr>
        <w:t xml:space="preserve">(or that it failed to obtain) </w:t>
      </w:r>
      <w:r w:rsidRPr="00280E9E">
        <w:rPr>
          <w:rFonts w:ascii="Garamond" w:hAnsi="Garamond"/>
        </w:rPr>
        <w:t>for the corresponding reported cell</w:t>
      </w:r>
      <w:r>
        <w:rPr>
          <w:rFonts w:ascii="Garamond" w:hAnsi="Garamond"/>
        </w:rPr>
        <w:t xml:space="preserve">, if the </w:t>
      </w:r>
      <w:r w:rsidRPr="00280E9E">
        <w:rPr>
          <w:rFonts w:ascii="Garamond" w:hAnsi="Garamond"/>
        </w:rPr>
        <w:t xml:space="preserve">Early TA </w:t>
      </w:r>
      <w:r>
        <w:rPr>
          <w:rFonts w:ascii="Garamond" w:hAnsi="Garamond"/>
        </w:rPr>
        <w:t>availability has not been reported separately.</w:t>
      </w:r>
    </w:p>
    <w:p w14:paraId="52649AD0" w14:textId="77777777" w:rsidR="00B26B7E" w:rsidRDefault="00B26B7E">
      <w:pPr>
        <w:pStyle w:val="Proposal"/>
        <w:rPr>
          <w:rFonts w:ascii="Garamond" w:hAnsi="Garamond"/>
        </w:rPr>
      </w:pPr>
      <w:r>
        <w:rPr>
          <w:rFonts w:ascii="Garamond" w:hAnsi="Garamond"/>
        </w:rPr>
        <w:t>Validity of</w:t>
      </w:r>
      <w:r w:rsidRPr="00980F19">
        <w:rPr>
          <w:rFonts w:ascii="Garamond" w:hAnsi="Garamond"/>
        </w:rPr>
        <w:t xml:space="preserve"> </w:t>
      </w:r>
      <w:r>
        <w:rPr>
          <w:rFonts w:ascii="Garamond" w:hAnsi="Garamond"/>
        </w:rPr>
        <w:t>an</w:t>
      </w:r>
      <w:r w:rsidRPr="00980F19">
        <w:rPr>
          <w:rFonts w:ascii="Garamond" w:hAnsi="Garamond"/>
        </w:rPr>
        <w:t xml:space="preserve"> early TA </w:t>
      </w:r>
      <w:r>
        <w:rPr>
          <w:rFonts w:ascii="Garamond" w:hAnsi="Garamond"/>
        </w:rPr>
        <w:t>can be controlled by UE using a legacy like TAT timer.</w:t>
      </w:r>
    </w:p>
    <w:p w14:paraId="789402A3" w14:textId="77777777" w:rsidR="00B26B7E" w:rsidRDefault="00B26B7E" w:rsidP="00B26B7E">
      <w:pPr>
        <w:rPr>
          <w:rFonts w:ascii="Garamond" w:hAnsi="Garamond"/>
          <w:sz w:val="20"/>
          <w:szCs w:val="20"/>
        </w:rPr>
      </w:pPr>
    </w:p>
    <w:p w14:paraId="613628B0" w14:textId="35F0B823" w:rsidR="00B26B7E" w:rsidRDefault="00D44C4F" w:rsidP="00B26B7E">
      <w:pPr>
        <w:rPr>
          <w:rFonts w:ascii="Garamond" w:hAnsi="Garamond"/>
          <w:sz w:val="20"/>
          <w:szCs w:val="20"/>
        </w:rPr>
      </w:pPr>
      <w:r>
        <w:rPr>
          <w:rFonts w:ascii="Garamond" w:hAnsi="Garamond"/>
          <w:sz w:val="20"/>
          <w:szCs w:val="20"/>
        </w:rPr>
        <w:t xml:space="preserve">Further, </w:t>
      </w:r>
      <w:r w:rsidR="00B26B7E" w:rsidRPr="009246C1">
        <w:rPr>
          <w:rFonts w:ascii="Garamond" w:hAnsi="Garamond" w:hint="eastAsia"/>
          <w:sz w:val="20"/>
          <w:szCs w:val="20"/>
        </w:rPr>
        <w:t>R</w:t>
      </w:r>
      <w:r w:rsidR="00B26B7E" w:rsidRPr="009246C1">
        <w:rPr>
          <w:rFonts w:ascii="Garamond" w:hAnsi="Garamond"/>
          <w:sz w:val="20"/>
          <w:szCs w:val="20"/>
        </w:rPr>
        <w:t>AN2 has agreed to support subsequent LTM. Namely, UE may continue to keep LTM candidate cell configuration after cell switching. I</w:t>
      </w:r>
      <w:r w:rsidR="00B26B7E" w:rsidRPr="009246C1">
        <w:rPr>
          <w:rFonts w:ascii="Garamond" w:hAnsi="Garamond" w:hint="eastAsia"/>
          <w:sz w:val="20"/>
          <w:szCs w:val="20"/>
        </w:rPr>
        <w:t>f</w:t>
      </w:r>
      <w:r w:rsidR="00B26B7E" w:rsidRPr="009246C1">
        <w:rPr>
          <w:rFonts w:ascii="Garamond" w:hAnsi="Garamond"/>
          <w:sz w:val="20"/>
          <w:szCs w:val="20"/>
        </w:rPr>
        <w:t xml:space="preserve"> the TA list for some candidate cells has been obtained, it is natural that the TA values also can be kept after cell switching.</w:t>
      </w:r>
      <w:r w:rsidR="00B26B7E">
        <w:rPr>
          <w:rFonts w:ascii="Garamond" w:hAnsi="Garamond"/>
          <w:sz w:val="20"/>
          <w:szCs w:val="20"/>
        </w:rPr>
        <w:t xml:space="preserve"> </w:t>
      </w:r>
    </w:p>
    <w:p w14:paraId="75C3E357" w14:textId="77777777" w:rsidR="00B26B7E" w:rsidRPr="00863776" w:rsidRDefault="00B26B7E">
      <w:pPr>
        <w:pStyle w:val="Proposal"/>
        <w:rPr>
          <w:rFonts w:ascii="Garamond" w:hAnsi="Garamond"/>
        </w:rPr>
      </w:pPr>
      <w:r w:rsidRPr="00863776">
        <w:rPr>
          <w:rFonts w:ascii="Garamond" w:hAnsi="Garamond"/>
        </w:rPr>
        <w:t>The acquired Early TA value can</w:t>
      </w:r>
      <w:r w:rsidRPr="009246C1">
        <w:rPr>
          <w:rFonts w:ascii="Garamond" w:hAnsi="Garamond"/>
        </w:rPr>
        <w:t xml:space="preserve"> be kept by UE after successful cell switch.</w:t>
      </w:r>
    </w:p>
    <w:p w14:paraId="7CA80C01" w14:textId="07A8AFB3" w:rsidR="00237E9C" w:rsidRDefault="00237E9C" w:rsidP="00237E9C">
      <w:pPr>
        <w:pStyle w:val="Proposal"/>
        <w:numPr>
          <w:ilvl w:val="0"/>
          <w:numId w:val="0"/>
        </w:numPr>
        <w:rPr>
          <w:rFonts w:ascii="Garamond" w:hAnsi="Garamond"/>
        </w:rPr>
      </w:pPr>
    </w:p>
    <w:p w14:paraId="7ECA3C47" w14:textId="77777777" w:rsidR="00EE3AFA" w:rsidRDefault="00CE14BC" w:rsidP="00CE14BC">
      <w:pPr>
        <w:rPr>
          <w:rFonts w:ascii="Garamond" w:hAnsi="Garamond"/>
          <w:sz w:val="20"/>
          <w:szCs w:val="20"/>
        </w:rPr>
      </w:pPr>
      <w:r>
        <w:rPr>
          <w:rFonts w:ascii="Garamond" w:hAnsi="Garamond"/>
          <w:sz w:val="20"/>
          <w:szCs w:val="20"/>
        </w:rPr>
        <w:t xml:space="preserve">Further, assuming RACH based Early TA acquisition is (also) to be used (in addition to PDCCH order based Early TA acquisition procedure) as proposed in [1], RAN2 should further investigate the RACH procedure itself which is initiated for the acquisition of an early TA on a candidate cell. Different to the legacy RACH procedure, e.g., performed in the target cell at Handover, UE should not establish a connection to the target cell, but only obtain uplink timing synchronization. Therefore, some changes to the current specified RACH procedure will be required. </w:t>
      </w:r>
    </w:p>
    <w:p w14:paraId="6D12CC6A" w14:textId="7B99FE9D" w:rsidR="00A4033E" w:rsidRDefault="00EE3AFA" w:rsidP="00CE14BC">
      <w:pPr>
        <w:rPr>
          <w:rFonts w:ascii="Garamond" w:hAnsi="Garamond"/>
          <w:sz w:val="20"/>
          <w:szCs w:val="20"/>
        </w:rPr>
      </w:pPr>
      <w:r>
        <w:rPr>
          <w:rFonts w:ascii="Garamond" w:hAnsi="Garamond"/>
          <w:sz w:val="20"/>
          <w:szCs w:val="20"/>
        </w:rPr>
        <w:lastRenderedPageBreak/>
        <w:t>In CBRA cases</w:t>
      </w:r>
      <w:r w:rsidR="00CE14BC">
        <w:rPr>
          <w:rFonts w:ascii="Garamond" w:hAnsi="Garamond"/>
          <w:sz w:val="20"/>
          <w:szCs w:val="20"/>
        </w:rPr>
        <w:t xml:space="preserve">, the content of the RACH message 3 of a contention-based RACH procedure initiated to acquire early timing synchronization with a candidate cell may be different compared with the legacy RACH procedure, e.g., RACH Msg3 </w:t>
      </w:r>
      <w:r w:rsidR="00C50707">
        <w:rPr>
          <w:rFonts w:ascii="Garamond" w:hAnsi="Garamond"/>
          <w:sz w:val="20"/>
          <w:szCs w:val="20"/>
        </w:rPr>
        <w:t xml:space="preserve">includes an indication </w:t>
      </w:r>
      <w:r w:rsidR="00A4033E">
        <w:rPr>
          <w:rFonts w:ascii="Garamond" w:hAnsi="Garamond"/>
          <w:sz w:val="20"/>
          <w:szCs w:val="20"/>
        </w:rPr>
        <w:t>for “Early TA only”</w:t>
      </w:r>
      <w:r w:rsidR="00CE14BC">
        <w:rPr>
          <w:rFonts w:ascii="Garamond" w:hAnsi="Garamond"/>
          <w:sz w:val="20"/>
          <w:szCs w:val="20"/>
        </w:rPr>
        <w:t xml:space="preserve">. </w:t>
      </w:r>
    </w:p>
    <w:p w14:paraId="75888DAF" w14:textId="3076DBBD" w:rsidR="00CE14BC" w:rsidRPr="008522EB" w:rsidRDefault="00EE3AFA" w:rsidP="00CE14BC">
      <w:pPr>
        <w:rPr>
          <w:rFonts w:ascii="Garamond" w:hAnsi="Garamond"/>
          <w:b/>
          <w:bCs/>
          <w:sz w:val="20"/>
          <w:szCs w:val="20"/>
        </w:rPr>
      </w:pPr>
      <w:r>
        <w:rPr>
          <w:rFonts w:ascii="Garamond" w:hAnsi="Garamond"/>
          <w:sz w:val="20"/>
          <w:szCs w:val="20"/>
        </w:rPr>
        <w:t>A</w:t>
      </w:r>
      <w:r w:rsidR="00CE14BC">
        <w:rPr>
          <w:rFonts w:ascii="Garamond" w:hAnsi="Garamond"/>
          <w:sz w:val="20"/>
          <w:szCs w:val="20"/>
        </w:rPr>
        <w:t>lternative</w:t>
      </w:r>
      <w:r>
        <w:rPr>
          <w:rFonts w:ascii="Garamond" w:hAnsi="Garamond"/>
          <w:sz w:val="20"/>
          <w:szCs w:val="20"/>
        </w:rPr>
        <w:t>ly</w:t>
      </w:r>
      <w:r w:rsidR="00CE14BC">
        <w:rPr>
          <w:rFonts w:ascii="Garamond" w:hAnsi="Garamond"/>
          <w:sz w:val="20"/>
          <w:szCs w:val="20"/>
        </w:rPr>
        <w:t>, d</w:t>
      </w:r>
      <w:r w:rsidR="00CE14BC" w:rsidRPr="00292B4F">
        <w:rPr>
          <w:rFonts w:ascii="Garamond" w:hAnsi="Garamond"/>
          <w:sz w:val="20"/>
          <w:szCs w:val="20"/>
        </w:rPr>
        <w:t>edicated RACH resource</w:t>
      </w:r>
      <w:r w:rsidR="00CE14BC">
        <w:rPr>
          <w:rFonts w:ascii="Garamond" w:hAnsi="Garamond"/>
          <w:sz w:val="20"/>
          <w:szCs w:val="20"/>
        </w:rPr>
        <w:t>s</w:t>
      </w:r>
      <w:r w:rsidR="00CE14BC" w:rsidRPr="00292B4F">
        <w:rPr>
          <w:rFonts w:ascii="Garamond" w:hAnsi="Garamond"/>
          <w:sz w:val="20"/>
          <w:szCs w:val="20"/>
        </w:rPr>
        <w:t xml:space="preserve"> can be configured to </w:t>
      </w:r>
      <w:r>
        <w:rPr>
          <w:rFonts w:ascii="Garamond" w:hAnsi="Garamond"/>
          <w:sz w:val="20"/>
          <w:szCs w:val="20"/>
        </w:rPr>
        <w:t xml:space="preserve">the UE to </w:t>
      </w:r>
      <w:r w:rsidR="00CE14BC" w:rsidRPr="00292B4F">
        <w:rPr>
          <w:rFonts w:ascii="Garamond" w:hAnsi="Garamond"/>
          <w:sz w:val="20"/>
          <w:szCs w:val="20"/>
        </w:rPr>
        <w:t xml:space="preserve">differentiate between RACH </w:t>
      </w:r>
      <w:r w:rsidR="00CE14BC">
        <w:rPr>
          <w:rFonts w:ascii="Garamond" w:hAnsi="Garamond"/>
          <w:sz w:val="20"/>
          <w:szCs w:val="20"/>
        </w:rPr>
        <w:t xml:space="preserve">resources for obtaining </w:t>
      </w:r>
      <w:r w:rsidR="00CE14BC" w:rsidRPr="00292B4F">
        <w:rPr>
          <w:rFonts w:ascii="Garamond" w:hAnsi="Garamond"/>
          <w:sz w:val="20"/>
          <w:szCs w:val="20"/>
        </w:rPr>
        <w:t xml:space="preserve">early TA and RACH </w:t>
      </w:r>
      <w:r w:rsidR="00CE14BC">
        <w:rPr>
          <w:rFonts w:ascii="Garamond" w:hAnsi="Garamond"/>
          <w:sz w:val="20"/>
          <w:szCs w:val="20"/>
        </w:rPr>
        <w:t xml:space="preserve">resources </w:t>
      </w:r>
      <w:r w:rsidR="00CE14BC" w:rsidRPr="00292B4F">
        <w:rPr>
          <w:rFonts w:ascii="Garamond" w:hAnsi="Garamond"/>
          <w:sz w:val="20"/>
          <w:szCs w:val="20"/>
        </w:rPr>
        <w:t xml:space="preserve">for </w:t>
      </w:r>
      <w:r>
        <w:rPr>
          <w:rFonts w:ascii="Garamond" w:hAnsi="Garamond"/>
          <w:sz w:val="20"/>
          <w:szCs w:val="20"/>
        </w:rPr>
        <w:t xml:space="preserve">legacy </w:t>
      </w:r>
      <w:r w:rsidR="00CE14BC" w:rsidRPr="00292B4F">
        <w:rPr>
          <w:rFonts w:ascii="Garamond" w:hAnsi="Garamond"/>
          <w:sz w:val="20"/>
          <w:szCs w:val="20"/>
        </w:rPr>
        <w:t xml:space="preserve">handover </w:t>
      </w:r>
      <w:r>
        <w:rPr>
          <w:rFonts w:ascii="Garamond" w:hAnsi="Garamond"/>
          <w:sz w:val="20"/>
          <w:szCs w:val="20"/>
        </w:rPr>
        <w:t xml:space="preserve">execution. This case be done </w:t>
      </w:r>
      <w:r w:rsidR="00CE14BC">
        <w:rPr>
          <w:rFonts w:ascii="Garamond" w:hAnsi="Garamond"/>
          <w:sz w:val="20"/>
          <w:szCs w:val="20"/>
        </w:rPr>
        <w:t xml:space="preserve">using </w:t>
      </w:r>
      <w:r w:rsidR="00CE14BC" w:rsidRPr="00292B4F">
        <w:rPr>
          <w:rFonts w:ascii="Garamond" w:hAnsi="Garamond"/>
          <w:sz w:val="20"/>
          <w:szCs w:val="20"/>
        </w:rPr>
        <w:t>e.g</w:t>
      </w:r>
      <w:r w:rsidR="00CE14BC">
        <w:rPr>
          <w:rFonts w:ascii="Garamond" w:hAnsi="Garamond"/>
          <w:sz w:val="20"/>
          <w:szCs w:val="20"/>
        </w:rPr>
        <w:t>.,</w:t>
      </w:r>
      <w:r w:rsidR="00CE14BC" w:rsidRPr="00292B4F">
        <w:rPr>
          <w:rFonts w:ascii="Garamond" w:hAnsi="Garamond"/>
          <w:sz w:val="20"/>
          <w:szCs w:val="20"/>
        </w:rPr>
        <w:t xml:space="preserve"> </w:t>
      </w:r>
      <w:r w:rsidR="00CE14BC">
        <w:rPr>
          <w:rFonts w:ascii="Garamond" w:hAnsi="Garamond"/>
          <w:sz w:val="20"/>
          <w:szCs w:val="20"/>
        </w:rPr>
        <w:t>s</w:t>
      </w:r>
      <w:r w:rsidR="00CE14BC" w:rsidRPr="00292B4F">
        <w:rPr>
          <w:rFonts w:ascii="Garamond" w:hAnsi="Garamond"/>
          <w:sz w:val="20"/>
          <w:szCs w:val="20"/>
        </w:rPr>
        <w:t>eparate preamble</w:t>
      </w:r>
      <w:r w:rsidR="00CE14BC">
        <w:rPr>
          <w:rFonts w:ascii="Garamond" w:hAnsi="Garamond"/>
          <w:sz w:val="20"/>
          <w:szCs w:val="20"/>
        </w:rPr>
        <w:t>s</w:t>
      </w:r>
      <w:r w:rsidR="00CE14BC" w:rsidRPr="00292B4F">
        <w:rPr>
          <w:rFonts w:ascii="Garamond" w:hAnsi="Garamond"/>
          <w:sz w:val="20"/>
          <w:szCs w:val="20"/>
        </w:rPr>
        <w:t xml:space="preserve"> or separate time-frequency domain resource</w:t>
      </w:r>
      <w:r w:rsidR="00CE14BC">
        <w:rPr>
          <w:rFonts w:ascii="Garamond" w:hAnsi="Garamond"/>
          <w:sz w:val="20"/>
          <w:szCs w:val="20"/>
        </w:rPr>
        <w:t xml:space="preserve">s. </w:t>
      </w:r>
    </w:p>
    <w:p w14:paraId="6AB19B39" w14:textId="696D1C83" w:rsidR="008708F5" w:rsidRPr="008708F5" w:rsidRDefault="00CE14BC">
      <w:pPr>
        <w:pStyle w:val="Proposal"/>
        <w:rPr>
          <w:rFonts w:ascii="Garamond" w:hAnsi="Garamond"/>
        </w:rPr>
      </w:pPr>
      <w:r>
        <w:rPr>
          <w:rFonts w:ascii="Garamond" w:hAnsi="Garamond"/>
        </w:rPr>
        <w:t>RAN2 to discuss how NW can distinguish between RACH for early TA acquisition and legacy RACH for HO, e.g., d</w:t>
      </w:r>
      <w:r w:rsidRPr="00292B4F">
        <w:rPr>
          <w:rFonts w:ascii="Garamond" w:hAnsi="Garamond"/>
        </w:rPr>
        <w:t>edicated RACH resource</w:t>
      </w:r>
      <w:r>
        <w:rPr>
          <w:rFonts w:ascii="Garamond" w:hAnsi="Garamond"/>
        </w:rPr>
        <w:t>s</w:t>
      </w:r>
      <w:r w:rsidRPr="00292B4F">
        <w:rPr>
          <w:rFonts w:ascii="Garamond" w:hAnsi="Garamond"/>
        </w:rPr>
        <w:t xml:space="preserve"> can be configured </w:t>
      </w:r>
      <w:r>
        <w:rPr>
          <w:rFonts w:ascii="Garamond" w:hAnsi="Garamond"/>
        </w:rPr>
        <w:t xml:space="preserve">to the UE </w:t>
      </w:r>
      <w:r w:rsidRPr="00292B4F">
        <w:rPr>
          <w:rFonts w:ascii="Garamond" w:hAnsi="Garamond"/>
        </w:rPr>
        <w:t xml:space="preserve">to differentiate between RACH </w:t>
      </w:r>
      <w:r>
        <w:rPr>
          <w:rFonts w:ascii="Garamond" w:hAnsi="Garamond"/>
        </w:rPr>
        <w:t xml:space="preserve">resource for obtaining </w:t>
      </w:r>
      <w:r w:rsidRPr="00292B4F">
        <w:rPr>
          <w:rFonts w:ascii="Garamond" w:hAnsi="Garamond"/>
        </w:rPr>
        <w:t xml:space="preserve">early TA and </w:t>
      </w:r>
      <w:r>
        <w:rPr>
          <w:rFonts w:ascii="Garamond" w:hAnsi="Garamond"/>
        </w:rPr>
        <w:t xml:space="preserve">also for </w:t>
      </w:r>
      <w:r w:rsidRPr="00292B4F">
        <w:rPr>
          <w:rFonts w:ascii="Garamond" w:hAnsi="Garamond"/>
        </w:rPr>
        <w:t xml:space="preserve">normal RACH </w:t>
      </w:r>
      <w:r>
        <w:rPr>
          <w:rFonts w:ascii="Garamond" w:hAnsi="Garamond"/>
        </w:rPr>
        <w:t xml:space="preserve">resources </w:t>
      </w:r>
      <w:r w:rsidRPr="00292B4F">
        <w:rPr>
          <w:rFonts w:ascii="Garamond" w:hAnsi="Garamond"/>
        </w:rPr>
        <w:t>for handover</w:t>
      </w:r>
      <w:r w:rsidR="008708F5">
        <w:rPr>
          <w:rFonts w:ascii="Garamond" w:hAnsi="Garamond"/>
        </w:rPr>
        <w:t>.</w:t>
      </w:r>
    </w:p>
    <w:p w14:paraId="12B05C4D" w14:textId="1006A9ED" w:rsidR="00CE14BC" w:rsidRPr="008A5BBF" w:rsidRDefault="00CE14BC">
      <w:pPr>
        <w:pStyle w:val="Proposal"/>
        <w:rPr>
          <w:rFonts w:ascii="Garamond" w:hAnsi="Garamond"/>
        </w:rPr>
      </w:pPr>
      <w:r>
        <w:rPr>
          <w:rFonts w:ascii="Garamond" w:hAnsi="Garamond"/>
        </w:rPr>
        <w:t>RACH message 3 can contain early TA indication when dedicated PRACH resources specifically for Early TA is not provided to the UE</w:t>
      </w:r>
      <w:r w:rsidRPr="008522EB">
        <w:rPr>
          <w:rFonts w:ascii="Garamond" w:hAnsi="Garamond"/>
        </w:rPr>
        <w:t xml:space="preserve">. </w:t>
      </w:r>
    </w:p>
    <w:p w14:paraId="6D691109" w14:textId="77777777" w:rsidR="00CE14BC" w:rsidRDefault="00CE14BC" w:rsidP="00237E9C">
      <w:pPr>
        <w:pStyle w:val="Proposal"/>
        <w:numPr>
          <w:ilvl w:val="0"/>
          <w:numId w:val="0"/>
        </w:numPr>
        <w:rPr>
          <w:rFonts w:ascii="Garamond" w:hAnsi="Garamond"/>
        </w:rPr>
      </w:pPr>
    </w:p>
    <w:p w14:paraId="66CCCFC7" w14:textId="77777777" w:rsidR="007634DD" w:rsidRDefault="007634DD" w:rsidP="000B7436">
      <w:pPr>
        <w:pStyle w:val="Heading2"/>
      </w:pPr>
    </w:p>
    <w:p w14:paraId="662A8F20" w14:textId="32078D84" w:rsidR="00237E9C" w:rsidRPr="000B7436" w:rsidRDefault="00237E9C" w:rsidP="000B7436">
      <w:pPr>
        <w:pStyle w:val="Heading2"/>
      </w:pPr>
      <w:bookmarkStart w:id="5" w:name="_Hlk127272006"/>
      <w:r w:rsidRPr="000B7436">
        <w:t>For non-RACH (UL RS) based Early TA acquisition</w:t>
      </w:r>
      <w:r w:rsidR="00574E91" w:rsidRPr="000B7436">
        <w:t>:</w:t>
      </w:r>
    </w:p>
    <w:bookmarkEnd w:id="5"/>
    <w:p w14:paraId="5D6BED30" w14:textId="77777777" w:rsidR="00954990" w:rsidRDefault="00954990" w:rsidP="00C561FC">
      <w:pPr>
        <w:rPr>
          <w:rFonts w:ascii="Garamond" w:hAnsi="Garamond"/>
          <w:sz w:val="20"/>
          <w:szCs w:val="20"/>
        </w:rPr>
      </w:pPr>
    </w:p>
    <w:p w14:paraId="2ED589CB" w14:textId="1A8C9641" w:rsidR="00C561FC" w:rsidRPr="00C50707" w:rsidRDefault="00C561FC" w:rsidP="00C50707">
      <w:pPr>
        <w:rPr>
          <w:rFonts w:ascii="Garamond" w:hAnsi="Garamond"/>
          <w:sz w:val="20"/>
          <w:szCs w:val="20"/>
        </w:rPr>
      </w:pPr>
      <w:r w:rsidRPr="00C561FC">
        <w:rPr>
          <w:rFonts w:ascii="Garamond" w:hAnsi="Garamond"/>
          <w:sz w:val="20"/>
          <w:szCs w:val="20"/>
        </w:rPr>
        <w:t xml:space="preserve">While TA in this case is available with the candidate cell/ DU as shown in </w:t>
      </w:r>
      <w:r w:rsidRPr="00C561FC">
        <w:rPr>
          <w:rFonts w:ascii="Garamond" w:hAnsi="Garamond"/>
          <w:sz w:val="20"/>
          <w:szCs w:val="20"/>
        </w:rPr>
        <w:fldChar w:fldCharType="begin"/>
      </w:r>
      <w:r w:rsidRPr="00C561FC">
        <w:rPr>
          <w:rFonts w:ascii="Garamond" w:hAnsi="Garamond"/>
          <w:sz w:val="20"/>
          <w:szCs w:val="20"/>
        </w:rPr>
        <w:instrText xml:space="preserve"> REF _Ref117850626 \h </w:instrText>
      </w:r>
      <w:r>
        <w:rPr>
          <w:rFonts w:ascii="Garamond" w:hAnsi="Garamond"/>
          <w:sz w:val="20"/>
          <w:szCs w:val="20"/>
        </w:rPr>
        <w:instrText xml:space="preserve"> \* MERGEFORMAT </w:instrText>
      </w:r>
      <w:r w:rsidRPr="00C561FC">
        <w:rPr>
          <w:rFonts w:ascii="Garamond" w:hAnsi="Garamond"/>
          <w:sz w:val="20"/>
          <w:szCs w:val="20"/>
        </w:rPr>
      </w:r>
      <w:r w:rsidRPr="00C561FC">
        <w:rPr>
          <w:rFonts w:ascii="Garamond" w:hAnsi="Garamond"/>
          <w:sz w:val="20"/>
          <w:szCs w:val="20"/>
        </w:rPr>
        <w:fldChar w:fldCharType="separate"/>
      </w:r>
      <w:r w:rsidRPr="00C561FC">
        <w:rPr>
          <w:rFonts w:ascii="Garamond" w:hAnsi="Garamond"/>
          <w:sz w:val="20"/>
          <w:szCs w:val="20"/>
        </w:rPr>
        <w:t>Figure 1</w:t>
      </w:r>
      <w:r w:rsidRPr="00C561FC">
        <w:rPr>
          <w:rFonts w:ascii="Garamond" w:hAnsi="Garamond"/>
          <w:sz w:val="20"/>
          <w:szCs w:val="20"/>
        </w:rPr>
        <w:fldChar w:fldCharType="end"/>
      </w:r>
      <w:r w:rsidRPr="00C561FC">
        <w:rPr>
          <w:rFonts w:ascii="Garamond" w:hAnsi="Garamond"/>
          <w:sz w:val="20"/>
          <w:szCs w:val="20"/>
        </w:rPr>
        <w:t xml:space="preserve">, the same can be provided to the UE from the source cell/ DU to facilitate arrival announcement of the UE in the candidate (target) cell. </w:t>
      </w:r>
      <w:r w:rsidR="007634DD">
        <w:rPr>
          <w:rFonts w:ascii="Garamond" w:hAnsi="Garamond"/>
          <w:sz w:val="20"/>
          <w:szCs w:val="20"/>
          <w:lang w:val="en-GB"/>
        </w:rPr>
        <w:t>Regarding v</w:t>
      </w:r>
      <w:r w:rsidR="007634DD" w:rsidRPr="00197B6B">
        <w:rPr>
          <w:rFonts w:ascii="Garamond" w:hAnsi="Garamond"/>
          <w:sz w:val="20"/>
          <w:szCs w:val="20"/>
          <w:lang w:val="en-GB"/>
        </w:rPr>
        <w:t>alidity of an early TA</w:t>
      </w:r>
      <w:r w:rsidR="007634DD">
        <w:rPr>
          <w:rFonts w:ascii="Garamond" w:hAnsi="Garamond"/>
          <w:sz w:val="20"/>
          <w:szCs w:val="20"/>
          <w:lang w:val="en-GB"/>
        </w:rPr>
        <w:t>, the source cell can use a TAT when it receives a TA value from a candidate cell for the UE and trigger another PDCCH Order upon TAT expiry, if required.</w:t>
      </w:r>
    </w:p>
    <w:p w14:paraId="0D575F60" w14:textId="19557899" w:rsidR="00481CE7" w:rsidRDefault="00481CE7">
      <w:pPr>
        <w:pStyle w:val="Proposal"/>
        <w:rPr>
          <w:rFonts w:ascii="Garamond" w:hAnsi="Garamond"/>
        </w:rPr>
      </w:pPr>
      <w:r w:rsidRPr="00481CE7">
        <w:rPr>
          <w:rFonts w:ascii="Garamond" w:hAnsi="Garamond"/>
        </w:rPr>
        <w:t xml:space="preserve">The TA value to be used </w:t>
      </w:r>
      <w:r>
        <w:rPr>
          <w:rFonts w:ascii="Garamond" w:hAnsi="Garamond"/>
        </w:rPr>
        <w:t xml:space="preserve">towards </w:t>
      </w:r>
      <w:r w:rsidRPr="00481CE7">
        <w:rPr>
          <w:rFonts w:ascii="Garamond" w:hAnsi="Garamond"/>
        </w:rPr>
        <w:t xml:space="preserve">the candidate </w:t>
      </w:r>
      <w:r>
        <w:rPr>
          <w:rFonts w:ascii="Garamond" w:hAnsi="Garamond"/>
        </w:rPr>
        <w:t>(</w:t>
      </w:r>
      <w:r w:rsidRPr="00481CE7">
        <w:rPr>
          <w:rFonts w:ascii="Garamond" w:hAnsi="Garamond"/>
        </w:rPr>
        <w:t>target</w:t>
      </w:r>
      <w:r>
        <w:rPr>
          <w:rFonts w:ascii="Garamond" w:hAnsi="Garamond"/>
        </w:rPr>
        <w:t>)</w:t>
      </w:r>
      <w:r w:rsidRPr="00481CE7">
        <w:rPr>
          <w:rFonts w:ascii="Garamond" w:hAnsi="Garamond"/>
        </w:rPr>
        <w:t xml:space="preserve"> cell </w:t>
      </w:r>
      <w:r>
        <w:rPr>
          <w:rFonts w:ascii="Garamond" w:hAnsi="Garamond"/>
        </w:rPr>
        <w:t xml:space="preserve">is indicated in the LTM </w:t>
      </w:r>
      <w:r w:rsidR="00DB29B0">
        <w:rPr>
          <w:rFonts w:ascii="Garamond" w:hAnsi="Garamond"/>
        </w:rPr>
        <w:t xml:space="preserve">command </w:t>
      </w:r>
      <w:r w:rsidRPr="00481CE7">
        <w:rPr>
          <w:rFonts w:ascii="Garamond" w:hAnsi="Garamond"/>
        </w:rPr>
        <w:t xml:space="preserve">if </w:t>
      </w:r>
      <w:r w:rsidR="007B2269">
        <w:rPr>
          <w:rFonts w:ascii="Garamond" w:hAnsi="Garamond"/>
        </w:rPr>
        <w:t>non-</w:t>
      </w:r>
      <w:r w:rsidRPr="00481CE7">
        <w:rPr>
          <w:rFonts w:ascii="Garamond" w:hAnsi="Garamond"/>
        </w:rPr>
        <w:t>RACH</w:t>
      </w:r>
      <w:r w:rsidR="007B2269">
        <w:rPr>
          <w:rFonts w:ascii="Garamond" w:hAnsi="Garamond"/>
        </w:rPr>
        <w:t xml:space="preserve"> procedure </w:t>
      </w:r>
      <w:r w:rsidRPr="00481CE7">
        <w:rPr>
          <w:rFonts w:ascii="Garamond" w:hAnsi="Garamond"/>
        </w:rPr>
        <w:t xml:space="preserve">is </w:t>
      </w:r>
      <w:r w:rsidR="007B2269">
        <w:rPr>
          <w:rFonts w:ascii="Garamond" w:hAnsi="Garamond"/>
        </w:rPr>
        <w:t xml:space="preserve">to be </w:t>
      </w:r>
      <w:r w:rsidRPr="00481CE7">
        <w:rPr>
          <w:rFonts w:ascii="Garamond" w:hAnsi="Garamond"/>
        </w:rPr>
        <w:t>used</w:t>
      </w:r>
      <w:r w:rsidR="007B2269">
        <w:rPr>
          <w:rFonts w:ascii="Garamond" w:hAnsi="Garamond"/>
        </w:rPr>
        <w:t xml:space="preserve"> for Early TA acquisition</w:t>
      </w:r>
      <w:r>
        <w:rPr>
          <w:rFonts w:ascii="Garamond" w:hAnsi="Garamond"/>
        </w:rPr>
        <w:t>.</w:t>
      </w:r>
    </w:p>
    <w:p w14:paraId="2548FA13" w14:textId="1E6CEC18" w:rsidR="00DF7AB6" w:rsidRPr="003F5536" w:rsidRDefault="007634DD">
      <w:pPr>
        <w:pStyle w:val="Proposal"/>
        <w:rPr>
          <w:rFonts w:ascii="Garamond" w:hAnsi="Garamond"/>
        </w:rPr>
      </w:pPr>
      <w:r>
        <w:rPr>
          <w:rFonts w:ascii="Garamond" w:hAnsi="Garamond"/>
        </w:rPr>
        <w:t>Validity of</w:t>
      </w:r>
      <w:r w:rsidRPr="00980F19">
        <w:rPr>
          <w:rFonts w:ascii="Garamond" w:hAnsi="Garamond"/>
        </w:rPr>
        <w:t xml:space="preserve"> </w:t>
      </w:r>
      <w:r>
        <w:rPr>
          <w:rFonts w:ascii="Garamond" w:hAnsi="Garamond"/>
        </w:rPr>
        <w:t>an</w:t>
      </w:r>
      <w:r w:rsidRPr="00980F19">
        <w:rPr>
          <w:rFonts w:ascii="Garamond" w:hAnsi="Garamond"/>
        </w:rPr>
        <w:t xml:space="preserve"> early TA </w:t>
      </w:r>
      <w:r w:rsidR="00B936CF">
        <w:rPr>
          <w:rFonts w:ascii="Garamond" w:hAnsi="Garamond"/>
        </w:rPr>
        <w:t xml:space="preserve">for a UE-candidate cell pair, </w:t>
      </w:r>
      <w:r>
        <w:rPr>
          <w:rFonts w:ascii="Garamond" w:hAnsi="Garamond"/>
        </w:rPr>
        <w:t>can be controlled by source cell using a legacy like TAT timer.</w:t>
      </w:r>
      <w:r w:rsidR="00DF7AB6" w:rsidRPr="003F5536">
        <w:rPr>
          <w:rFonts w:ascii="Garamond" w:hAnsi="Garamond"/>
          <w:u w:val="single"/>
        </w:rPr>
        <w:br w:type="page"/>
      </w:r>
    </w:p>
    <w:p w14:paraId="3D185405" w14:textId="21CFFB02" w:rsidR="00733518" w:rsidRPr="00CD4E42" w:rsidRDefault="00750D3F" w:rsidP="00CD4E42">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Pr>
          <w:rFonts w:ascii="Times New Roman" w:eastAsia="SimSun" w:hAnsi="Times New Roman" w:cs="Times New Roman"/>
          <w:b/>
          <w:sz w:val="32"/>
          <w:szCs w:val="32"/>
          <w:lang w:val="en-GB" w:eastAsia="zh-CN"/>
        </w:rPr>
        <w:lastRenderedPageBreak/>
        <w:t xml:space="preserve">Mobility execution: </w:t>
      </w:r>
      <w:r w:rsidR="007065D9">
        <w:rPr>
          <w:rFonts w:ascii="Times New Roman" w:eastAsia="SimSun" w:hAnsi="Times New Roman" w:cs="Times New Roman"/>
          <w:b/>
          <w:sz w:val="32"/>
          <w:szCs w:val="32"/>
          <w:lang w:val="en-GB" w:eastAsia="zh-CN"/>
        </w:rPr>
        <w:t>A</w:t>
      </w:r>
      <w:r w:rsidR="00F7530D" w:rsidRPr="00CD4E42">
        <w:rPr>
          <w:rFonts w:ascii="Times New Roman" w:eastAsia="SimSun" w:hAnsi="Times New Roman" w:cs="Times New Roman"/>
          <w:b/>
          <w:sz w:val="32"/>
          <w:szCs w:val="32"/>
          <w:lang w:val="en-GB" w:eastAsia="zh-CN"/>
        </w:rPr>
        <w:t xml:space="preserve">rrival </w:t>
      </w:r>
      <w:r w:rsidR="007065D9">
        <w:rPr>
          <w:rFonts w:ascii="Times New Roman" w:eastAsia="SimSun" w:hAnsi="Times New Roman" w:cs="Times New Roman"/>
          <w:b/>
          <w:sz w:val="32"/>
          <w:szCs w:val="32"/>
          <w:lang w:val="en-GB" w:eastAsia="zh-CN"/>
        </w:rPr>
        <w:t xml:space="preserve">Announcement </w:t>
      </w:r>
      <w:r w:rsidR="00F7530D" w:rsidRPr="00CD4E42">
        <w:rPr>
          <w:rFonts w:ascii="Times New Roman" w:eastAsia="SimSun" w:hAnsi="Times New Roman" w:cs="Times New Roman"/>
          <w:b/>
          <w:sz w:val="32"/>
          <w:szCs w:val="32"/>
          <w:lang w:val="en-GB" w:eastAsia="zh-CN"/>
        </w:rPr>
        <w:t>in the target</w:t>
      </w:r>
    </w:p>
    <w:p w14:paraId="180BD3CC" w14:textId="5F35F681" w:rsidR="00D27132" w:rsidRDefault="00E62A98" w:rsidP="0014437B">
      <w:pPr>
        <w:rPr>
          <w:rFonts w:ascii="Garamond" w:hAnsi="Garamond"/>
          <w:sz w:val="20"/>
          <w:szCs w:val="20"/>
        </w:rPr>
      </w:pPr>
      <w:r>
        <w:rPr>
          <w:rFonts w:ascii="Garamond" w:hAnsi="Garamond"/>
          <w:sz w:val="20"/>
          <w:szCs w:val="20"/>
        </w:rPr>
        <w:t xml:space="preserve">This can be modelled similar to that in LTE. </w:t>
      </w:r>
      <w:r w:rsidR="00B2191F">
        <w:rPr>
          <w:rFonts w:ascii="Garamond" w:hAnsi="Garamond"/>
          <w:sz w:val="20"/>
          <w:szCs w:val="20"/>
        </w:rPr>
        <w:t>Up on receiving measurement results</w:t>
      </w:r>
      <w:r w:rsidR="0014437B" w:rsidRPr="00280E9E">
        <w:rPr>
          <w:rFonts w:ascii="Garamond" w:hAnsi="Garamond"/>
          <w:sz w:val="20"/>
          <w:szCs w:val="20"/>
        </w:rPr>
        <w:t xml:space="preserve">, and having determined </w:t>
      </w:r>
      <w:r w:rsidR="00B2191F">
        <w:rPr>
          <w:rFonts w:ascii="Garamond" w:hAnsi="Garamond"/>
          <w:sz w:val="20"/>
          <w:szCs w:val="20"/>
        </w:rPr>
        <w:t xml:space="preserve">a </w:t>
      </w:r>
      <w:r w:rsidR="0014437B" w:rsidRPr="00280E9E">
        <w:rPr>
          <w:rFonts w:ascii="Garamond" w:hAnsi="Garamond"/>
          <w:sz w:val="20"/>
          <w:szCs w:val="20"/>
        </w:rPr>
        <w:t>target cell, the serving</w:t>
      </w:r>
      <w:r w:rsidR="00B2191F">
        <w:rPr>
          <w:rFonts w:ascii="Garamond" w:hAnsi="Garamond"/>
          <w:sz w:val="20"/>
          <w:szCs w:val="20"/>
        </w:rPr>
        <w:t xml:space="preserve"> </w:t>
      </w:r>
      <w:r w:rsidR="0014437B" w:rsidRPr="00280E9E">
        <w:rPr>
          <w:rFonts w:ascii="Garamond" w:hAnsi="Garamond"/>
          <w:sz w:val="20"/>
          <w:szCs w:val="20"/>
        </w:rPr>
        <w:t>cell/ source DU informs concerned target cell/ DU</w:t>
      </w:r>
      <w:r w:rsidR="00B2191F">
        <w:rPr>
          <w:rFonts w:ascii="Garamond" w:hAnsi="Garamond"/>
          <w:sz w:val="20"/>
          <w:szCs w:val="20"/>
        </w:rPr>
        <w:t>/ CU</w:t>
      </w:r>
      <w:r w:rsidR="0014437B" w:rsidRPr="00280E9E">
        <w:rPr>
          <w:rFonts w:ascii="Garamond" w:hAnsi="Garamond"/>
          <w:sz w:val="20"/>
          <w:szCs w:val="20"/>
        </w:rPr>
        <w:t xml:space="preserve"> confirming UE mobility. Target cell may send an acknowledgement for the said Mobility-Confirmation including information about PUSCH resource</w:t>
      </w:r>
      <w:r w:rsidR="00BD0119">
        <w:rPr>
          <w:rFonts w:ascii="Garamond" w:hAnsi="Garamond"/>
          <w:sz w:val="20"/>
          <w:szCs w:val="20"/>
        </w:rPr>
        <w:t xml:space="preserve"> used by the UE in the target cell to announce its arrival</w:t>
      </w:r>
      <w:r w:rsidR="0014437B" w:rsidRPr="00280E9E">
        <w:rPr>
          <w:rFonts w:ascii="Garamond" w:hAnsi="Garamond"/>
          <w:sz w:val="20"/>
          <w:szCs w:val="20"/>
        </w:rPr>
        <w:t>, if necessary</w:t>
      </w:r>
      <w:r w:rsidR="000132AB">
        <w:rPr>
          <w:rFonts w:ascii="Garamond" w:hAnsi="Garamond"/>
          <w:sz w:val="20"/>
          <w:szCs w:val="20"/>
        </w:rPr>
        <w:t xml:space="preserve"> e.g., if CG-PUSCH resources would be used</w:t>
      </w:r>
      <w:r w:rsidR="0014437B" w:rsidRPr="00280E9E">
        <w:rPr>
          <w:rFonts w:ascii="Garamond" w:hAnsi="Garamond"/>
          <w:sz w:val="20"/>
          <w:szCs w:val="20"/>
        </w:rPr>
        <w:t>.</w:t>
      </w:r>
      <w:r w:rsidR="0014437B" w:rsidRPr="00280E9E" w:rsidDel="00476FF4">
        <w:rPr>
          <w:rFonts w:ascii="Garamond" w:hAnsi="Garamond"/>
          <w:sz w:val="20"/>
          <w:szCs w:val="20"/>
        </w:rPr>
        <w:t xml:space="preserve"> </w:t>
      </w:r>
      <w:r w:rsidR="0014437B" w:rsidRPr="00280E9E">
        <w:rPr>
          <w:rFonts w:ascii="Garamond" w:hAnsi="Garamond"/>
          <w:sz w:val="20"/>
          <w:szCs w:val="20"/>
        </w:rPr>
        <w:t xml:space="preserve">At this point (or even earlier), having determined </w:t>
      </w:r>
      <w:r w:rsidR="000132AB">
        <w:rPr>
          <w:rFonts w:ascii="Garamond" w:hAnsi="Garamond"/>
          <w:sz w:val="20"/>
          <w:szCs w:val="20"/>
        </w:rPr>
        <w:t xml:space="preserve">the </w:t>
      </w:r>
      <w:r w:rsidR="0014437B" w:rsidRPr="00280E9E">
        <w:rPr>
          <w:rFonts w:ascii="Garamond" w:hAnsi="Garamond"/>
          <w:sz w:val="20"/>
          <w:szCs w:val="20"/>
        </w:rPr>
        <w:t xml:space="preserve">target cell, a cell switch command </w:t>
      </w:r>
      <w:r w:rsidR="000132AB">
        <w:rPr>
          <w:rFonts w:ascii="Garamond" w:hAnsi="Garamond"/>
          <w:sz w:val="20"/>
          <w:szCs w:val="20"/>
        </w:rPr>
        <w:t xml:space="preserve">(LTM) </w:t>
      </w:r>
      <w:r w:rsidR="0014437B" w:rsidRPr="00280E9E">
        <w:rPr>
          <w:rFonts w:ascii="Garamond" w:hAnsi="Garamond"/>
          <w:sz w:val="20"/>
          <w:szCs w:val="20"/>
        </w:rPr>
        <w:t xml:space="preserve">is sent to the UE. </w:t>
      </w:r>
      <w:r w:rsidR="000132AB">
        <w:rPr>
          <w:rFonts w:ascii="Garamond" w:hAnsi="Garamond"/>
          <w:sz w:val="20"/>
          <w:szCs w:val="20"/>
        </w:rPr>
        <w:t xml:space="preserve">As R2 agreed previously, </w:t>
      </w:r>
      <w:r w:rsidR="0014437B" w:rsidRPr="00280E9E">
        <w:rPr>
          <w:rFonts w:ascii="Garamond" w:hAnsi="Garamond"/>
          <w:sz w:val="20"/>
          <w:szCs w:val="20"/>
        </w:rPr>
        <w:t>LTM is conveyed in a MAC CE</w:t>
      </w:r>
      <w:r w:rsidR="00480B5A">
        <w:rPr>
          <w:rFonts w:ascii="Garamond" w:hAnsi="Garamond"/>
          <w:sz w:val="20"/>
          <w:szCs w:val="20"/>
        </w:rPr>
        <w:t xml:space="preserve"> and </w:t>
      </w:r>
      <w:r w:rsidR="0014437B" w:rsidRPr="00280E9E">
        <w:rPr>
          <w:rFonts w:ascii="Garamond" w:hAnsi="Garamond"/>
          <w:sz w:val="20"/>
          <w:szCs w:val="20"/>
        </w:rPr>
        <w:t xml:space="preserve">contains at least one candidate configuration index, based on the index used in the first-RRC-Reconfiguration message. </w:t>
      </w:r>
    </w:p>
    <w:p w14:paraId="70C9FC39" w14:textId="77777777" w:rsidR="002C7BE8" w:rsidRPr="002C7BE8" w:rsidRDefault="000132AB" w:rsidP="002C7BE8">
      <w:pPr>
        <w:rPr>
          <w:rFonts w:ascii="Garamond" w:hAnsi="Garamond"/>
          <w:sz w:val="20"/>
          <w:szCs w:val="20"/>
        </w:rPr>
      </w:pPr>
      <w:r>
        <w:rPr>
          <w:rFonts w:ascii="Garamond" w:hAnsi="Garamond"/>
          <w:sz w:val="20"/>
          <w:szCs w:val="20"/>
        </w:rPr>
        <w:t>T</w:t>
      </w:r>
      <w:r w:rsidR="0014437B" w:rsidRPr="00280E9E">
        <w:rPr>
          <w:rFonts w:ascii="Garamond" w:hAnsi="Garamond"/>
          <w:sz w:val="20"/>
          <w:szCs w:val="20"/>
        </w:rPr>
        <w:t xml:space="preserve">he PUSCH resource(s) </w:t>
      </w:r>
      <w:r w:rsidR="008904AD" w:rsidRPr="00280E9E">
        <w:rPr>
          <w:rFonts w:ascii="Garamond" w:hAnsi="Garamond"/>
          <w:sz w:val="20"/>
          <w:szCs w:val="20"/>
        </w:rPr>
        <w:t>can also be</w:t>
      </w:r>
      <w:r>
        <w:rPr>
          <w:rFonts w:ascii="Garamond" w:hAnsi="Garamond"/>
          <w:sz w:val="20"/>
          <w:szCs w:val="20"/>
        </w:rPr>
        <w:t xml:space="preserve"> </w:t>
      </w:r>
      <w:r w:rsidR="0014437B" w:rsidRPr="00280E9E">
        <w:rPr>
          <w:rFonts w:ascii="Garamond" w:hAnsi="Garamond"/>
          <w:sz w:val="20"/>
          <w:szCs w:val="20"/>
        </w:rPr>
        <w:t xml:space="preserve">provided using a DCI from the target cell. </w:t>
      </w:r>
      <w:r w:rsidR="002C7BE8" w:rsidRPr="002C7BE8">
        <w:rPr>
          <w:rFonts w:ascii="Garamond" w:hAnsi="Garamond"/>
          <w:sz w:val="20"/>
          <w:szCs w:val="20"/>
        </w:rPr>
        <w:t xml:space="preserve">UE starts a T304-like timer upon reception of LTM. The T304-like timer should be generally shorter, than the T304 timer in legacy L3 based mobility since/ if the UE maintains DL Sync and a valid Early TA is available, UE should be able to quickly announce its arrival on the target cell. </w:t>
      </w:r>
    </w:p>
    <w:p w14:paraId="0FDE17BD" w14:textId="77777777" w:rsidR="002C7BE8" w:rsidRDefault="002C7BE8" w:rsidP="002C7BE8">
      <w:pPr>
        <w:keepNext/>
        <w:spacing w:after="0"/>
        <w:jc w:val="center"/>
      </w:pPr>
      <w:r>
        <w:object w:dxaOrig="14386" w:dyaOrig="6016" w14:anchorId="225D4FC5">
          <v:shape id="_x0000_i1026" type="#_x0000_t75" style="width:417.6pt;height:172.8pt" o:ole="">
            <v:imagedata r:id="rId10" o:title=""/>
          </v:shape>
          <o:OLEObject Type="Embed" ProgID="Visio.Drawing.15" ShapeID="_x0000_i1026" DrawAspect="Content" ObjectID="_1738067976" r:id="rId11"/>
        </w:object>
      </w:r>
    </w:p>
    <w:p w14:paraId="5641590B" w14:textId="1997D13E" w:rsidR="002C7BE8" w:rsidRDefault="002C7BE8" w:rsidP="002C7BE8">
      <w:pPr>
        <w:pStyle w:val="Caption"/>
        <w:jc w:val="center"/>
      </w:pPr>
      <w:bookmarkStart w:id="6" w:name="_Ref117855244"/>
      <w:r>
        <w:t xml:space="preserve">Figure </w:t>
      </w:r>
      <w:r>
        <w:fldChar w:fldCharType="begin"/>
      </w:r>
      <w:r>
        <w:instrText xml:space="preserve"> SEQ Figure \* ARABIC </w:instrText>
      </w:r>
      <w:r>
        <w:fldChar w:fldCharType="separate"/>
      </w:r>
      <w:r w:rsidR="00A21180">
        <w:rPr>
          <w:noProof/>
        </w:rPr>
        <w:t>2</w:t>
      </w:r>
      <w:r>
        <w:fldChar w:fldCharType="end"/>
      </w:r>
      <w:bookmarkEnd w:id="6"/>
      <w:r>
        <w:t>: Mobility from source to target cell under DUs in an intra-CU situation</w:t>
      </w:r>
    </w:p>
    <w:p w14:paraId="688ACD1A" w14:textId="72C8F8CE" w:rsidR="0014437B" w:rsidRDefault="006D1347" w:rsidP="002C7BE8">
      <w:pPr>
        <w:rPr>
          <w:rFonts w:ascii="Garamond" w:hAnsi="Garamond"/>
          <w:sz w:val="20"/>
          <w:szCs w:val="20"/>
        </w:rPr>
      </w:pPr>
      <w:r>
        <w:rPr>
          <w:rFonts w:ascii="Garamond" w:hAnsi="Garamond"/>
          <w:sz w:val="20"/>
          <w:szCs w:val="20"/>
          <w:lang w:val="en-GB"/>
        </w:rPr>
        <w:t xml:space="preserve">The </w:t>
      </w:r>
      <w:r w:rsidR="002C7BE8" w:rsidRPr="006D1347">
        <w:rPr>
          <w:rFonts w:ascii="Garamond" w:hAnsi="Garamond"/>
          <w:sz w:val="20"/>
          <w:szCs w:val="20"/>
        </w:rPr>
        <w:t xml:space="preserve">arrival-announcement </w:t>
      </w:r>
      <w:r>
        <w:rPr>
          <w:rFonts w:ascii="Garamond" w:hAnsi="Garamond"/>
          <w:sz w:val="20"/>
          <w:szCs w:val="20"/>
        </w:rPr>
        <w:t xml:space="preserve">can be </w:t>
      </w:r>
      <w:r w:rsidR="002C7BE8" w:rsidRPr="006D1347">
        <w:rPr>
          <w:rFonts w:ascii="Garamond" w:hAnsi="Garamond"/>
          <w:sz w:val="20"/>
          <w:szCs w:val="20"/>
        </w:rPr>
        <w:t xml:space="preserve">done by sending a </w:t>
      </w:r>
      <w:r w:rsidR="00BB186F">
        <w:rPr>
          <w:rFonts w:ascii="Garamond" w:hAnsi="Garamond"/>
          <w:sz w:val="20"/>
          <w:szCs w:val="20"/>
        </w:rPr>
        <w:t xml:space="preserve">cell-switch </w:t>
      </w:r>
      <w:r w:rsidR="002C7BE8" w:rsidRPr="006D1347">
        <w:rPr>
          <w:rFonts w:ascii="Garamond" w:hAnsi="Garamond"/>
          <w:sz w:val="20"/>
          <w:szCs w:val="20"/>
        </w:rPr>
        <w:t xml:space="preserve">complete message using </w:t>
      </w:r>
      <w:r>
        <w:rPr>
          <w:rFonts w:ascii="Garamond" w:hAnsi="Garamond"/>
          <w:sz w:val="20"/>
          <w:szCs w:val="20"/>
        </w:rPr>
        <w:t>a</w:t>
      </w:r>
      <w:r w:rsidR="002C7BE8" w:rsidRPr="006D1347">
        <w:rPr>
          <w:rFonts w:ascii="Garamond" w:hAnsi="Garamond"/>
          <w:sz w:val="20"/>
          <w:szCs w:val="20"/>
        </w:rPr>
        <w:t xml:space="preserve"> MAC CE</w:t>
      </w:r>
      <w:r>
        <w:rPr>
          <w:rFonts w:ascii="Garamond" w:hAnsi="Garamond"/>
          <w:sz w:val="20"/>
          <w:szCs w:val="20"/>
        </w:rPr>
        <w:t>, to reduce the data interruption</w:t>
      </w:r>
      <w:r w:rsidR="00BB186F">
        <w:rPr>
          <w:rFonts w:ascii="Garamond" w:hAnsi="Garamond"/>
          <w:sz w:val="20"/>
          <w:szCs w:val="20"/>
        </w:rPr>
        <w:t xml:space="preserve">, data can be exchanged </w:t>
      </w:r>
      <w:r w:rsidR="00945E90">
        <w:rPr>
          <w:rFonts w:ascii="Garamond" w:hAnsi="Garamond"/>
          <w:sz w:val="20"/>
          <w:szCs w:val="20"/>
        </w:rPr>
        <w:t xml:space="preserve">only after </w:t>
      </w:r>
      <w:r w:rsidR="00BB186F">
        <w:rPr>
          <w:rFonts w:ascii="Garamond" w:hAnsi="Garamond"/>
          <w:sz w:val="20"/>
          <w:szCs w:val="20"/>
        </w:rPr>
        <w:t xml:space="preserve">the </w:t>
      </w:r>
      <w:r w:rsidR="00945E90">
        <w:rPr>
          <w:rFonts w:ascii="Garamond" w:hAnsi="Garamond"/>
          <w:sz w:val="20"/>
          <w:szCs w:val="20"/>
        </w:rPr>
        <w:t>cell-switch procedure is complete</w:t>
      </w:r>
      <w:r w:rsidR="002C7BE8" w:rsidRPr="006D1347">
        <w:rPr>
          <w:rFonts w:ascii="Garamond" w:hAnsi="Garamond"/>
          <w:sz w:val="20"/>
          <w:szCs w:val="20"/>
        </w:rPr>
        <w:t>. The PUSCH resource for the same can be provided to the UE by the target cell using a (first) Dynamic Grant. In an intra</w:t>
      </w:r>
      <w:r w:rsidR="00D01524">
        <w:rPr>
          <w:rFonts w:ascii="Garamond" w:hAnsi="Garamond"/>
          <w:sz w:val="20"/>
          <w:szCs w:val="20"/>
        </w:rPr>
        <w:t>-</w:t>
      </w:r>
      <w:r w:rsidR="002C7BE8" w:rsidRPr="006D1347">
        <w:rPr>
          <w:rFonts w:ascii="Garamond" w:hAnsi="Garamond"/>
          <w:sz w:val="20"/>
          <w:szCs w:val="20"/>
        </w:rPr>
        <w:t xml:space="preserve">CU scenario </w:t>
      </w:r>
      <w:r w:rsidR="00081570">
        <w:rPr>
          <w:rFonts w:ascii="Garamond" w:hAnsi="Garamond"/>
          <w:sz w:val="20"/>
          <w:szCs w:val="20"/>
        </w:rPr>
        <w:t xml:space="preserve">for Rel. 18, </w:t>
      </w:r>
      <w:r w:rsidR="002C7BE8" w:rsidRPr="006D1347">
        <w:rPr>
          <w:rFonts w:ascii="Garamond" w:hAnsi="Garamond"/>
          <w:sz w:val="20"/>
          <w:szCs w:val="20"/>
        </w:rPr>
        <w:t xml:space="preserve">both the source and target cell (as shown in </w:t>
      </w:r>
      <w:r w:rsidR="002C7BE8" w:rsidRPr="006D1347">
        <w:rPr>
          <w:rFonts w:ascii="Garamond" w:hAnsi="Garamond"/>
          <w:sz w:val="20"/>
          <w:szCs w:val="20"/>
        </w:rPr>
        <w:fldChar w:fldCharType="begin"/>
      </w:r>
      <w:r w:rsidR="002C7BE8" w:rsidRPr="006D1347">
        <w:rPr>
          <w:rFonts w:ascii="Garamond" w:hAnsi="Garamond"/>
          <w:sz w:val="20"/>
          <w:szCs w:val="20"/>
        </w:rPr>
        <w:instrText xml:space="preserve"> REF _Ref117855244 \h </w:instrText>
      </w:r>
      <w:r>
        <w:rPr>
          <w:rFonts w:ascii="Garamond" w:hAnsi="Garamond"/>
          <w:sz w:val="20"/>
          <w:szCs w:val="20"/>
        </w:rPr>
        <w:instrText xml:space="preserve"> \* MERGEFORMAT </w:instrText>
      </w:r>
      <w:r w:rsidR="002C7BE8" w:rsidRPr="006D1347">
        <w:rPr>
          <w:rFonts w:ascii="Garamond" w:hAnsi="Garamond"/>
          <w:sz w:val="20"/>
          <w:szCs w:val="20"/>
        </w:rPr>
      </w:r>
      <w:r w:rsidR="002C7BE8" w:rsidRPr="006D1347">
        <w:rPr>
          <w:rFonts w:ascii="Garamond" w:hAnsi="Garamond"/>
          <w:sz w:val="20"/>
          <w:szCs w:val="20"/>
        </w:rPr>
        <w:fldChar w:fldCharType="separate"/>
      </w:r>
      <w:r w:rsidR="00A21180" w:rsidRPr="00A21180">
        <w:rPr>
          <w:rFonts w:ascii="Garamond" w:hAnsi="Garamond"/>
          <w:sz w:val="20"/>
          <w:szCs w:val="20"/>
        </w:rPr>
        <w:t>Figure 2</w:t>
      </w:r>
      <w:r w:rsidR="002C7BE8" w:rsidRPr="006D1347">
        <w:rPr>
          <w:rFonts w:ascii="Garamond" w:hAnsi="Garamond"/>
          <w:sz w:val="20"/>
          <w:szCs w:val="20"/>
        </w:rPr>
        <w:fldChar w:fldCharType="end"/>
      </w:r>
      <w:r w:rsidR="002C7BE8" w:rsidRPr="006D1347">
        <w:rPr>
          <w:rFonts w:ascii="Garamond" w:hAnsi="Garamond"/>
          <w:sz w:val="20"/>
          <w:szCs w:val="20"/>
        </w:rPr>
        <w:t>) belong to the same centralized unit, therefore</w:t>
      </w:r>
      <w:r w:rsidR="00EC2656">
        <w:rPr>
          <w:rFonts w:ascii="Garamond" w:hAnsi="Garamond"/>
          <w:sz w:val="20"/>
          <w:szCs w:val="20"/>
        </w:rPr>
        <w:t xml:space="preserve"> </w:t>
      </w:r>
      <w:r w:rsidR="002C7BE8" w:rsidRPr="006D1347">
        <w:rPr>
          <w:rFonts w:ascii="Garamond" w:hAnsi="Garamond"/>
          <w:sz w:val="20"/>
          <w:szCs w:val="20"/>
        </w:rPr>
        <w:t xml:space="preserve">gNB </w:t>
      </w:r>
      <w:r w:rsidR="00D01524">
        <w:rPr>
          <w:rFonts w:ascii="Garamond" w:hAnsi="Garamond"/>
          <w:sz w:val="20"/>
          <w:szCs w:val="20"/>
        </w:rPr>
        <w:t xml:space="preserve">can </w:t>
      </w:r>
      <w:r w:rsidR="002C7BE8" w:rsidRPr="006D1347">
        <w:rPr>
          <w:rFonts w:ascii="Garamond" w:hAnsi="Garamond"/>
          <w:sz w:val="20"/>
          <w:szCs w:val="20"/>
        </w:rPr>
        <w:t>know accurately when the UE has received LTM successfully, enabling it to send the DCI for the said Dynamic Grant via the target cell</w:t>
      </w:r>
      <w:r w:rsidR="00BF0ECE">
        <w:rPr>
          <w:rFonts w:ascii="Garamond" w:hAnsi="Garamond"/>
          <w:sz w:val="20"/>
          <w:szCs w:val="20"/>
        </w:rPr>
        <w:t>/ DU</w:t>
      </w:r>
      <w:r w:rsidR="002C7BE8" w:rsidRPr="006D1347">
        <w:rPr>
          <w:rFonts w:ascii="Garamond" w:hAnsi="Garamond"/>
          <w:sz w:val="20"/>
          <w:szCs w:val="20"/>
        </w:rPr>
        <w:t xml:space="preserve">. To this end, at least </w:t>
      </w:r>
      <w:r w:rsidR="002C7BE8" w:rsidRPr="00941707">
        <w:rPr>
          <w:rFonts w:ascii="Garamond" w:hAnsi="Garamond"/>
          <w:i/>
          <w:iCs/>
          <w:sz w:val="20"/>
          <w:szCs w:val="20"/>
        </w:rPr>
        <w:t>PDCCH-Config</w:t>
      </w:r>
      <w:r w:rsidR="002C7BE8" w:rsidRPr="006D1347">
        <w:rPr>
          <w:rFonts w:ascii="Garamond" w:hAnsi="Garamond"/>
          <w:sz w:val="20"/>
          <w:szCs w:val="20"/>
        </w:rPr>
        <w:t xml:space="preserve"> of the target cell, configured earlier using a first-RRC-Reconfiguration with some other information out of </w:t>
      </w:r>
      <w:proofErr w:type="spellStart"/>
      <w:r w:rsidR="002C7BE8" w:rsidRPr="000B3AE7">
        <w:rPr>
          <w:rFonts w:ascii="Garamond" w:hAnsi="Garamond"/>
          <w:i/>
          <w:iCs/>
          <w:sz w:val="20"/>
          <w:szCs w:val="20"/>
        </w:rPr>
        <w:t>ServingCellConfig</w:t>
      </w:r>
      <w:proofErr w:type="spellEnd"/>
      <w:r w:rsidR="002C7BE8" w:rsidRPr="006D1347">
        <w:rPr>
          <w:rFonts w:ascii="Garamond" w:hAnsi="Garamond"/>
          <w:sz w:val="20"/>
          <w:szCs w:val="20"/>
        </w:rPr>
        <w:t xml:space="preserve"> is applied upon reception of LTM. As the UE may need some time to process LTM, refresh L1 synchronization including frequency and/ or BWP retuning, target cell </w:t>
      </w:r>
      <w:r w:rsidR="000B3AE7">
        <w:rPr>
          <w:rFonts w:ascii="Garamond" w:hAnsi="Garamond"/>
          <w:sz w:val="20"/>
          <w:szCs w:val="20"/>
        </w:rPr>
        <w:t xml:space="preserve">should </w:t>
      </w:r>
      <w:r w:rsidR="002C7BE8" w:rsidRPr="006D1347">
        <w:rPr>
          <w:rFonts w:ascii="Garamond" w:hAnsi="Garamond"/>
          <w:sz w:val="20"/>
          <w:szCs w:val="20"/>
        </w:rPr>
        <w:t>keep sending DCI PUSCH grants on many possible DL Beams</w:t>
      </w:r>
      <w:r w:rsidR="00EF2C55">
        <w:rPr>
          <w:rStyle w:val="FootnoteReference"/>
          <w:rFonts w:ascii="Garamond" w:hAnsi="Garamond"/>
          <w:sz w:val="20"/>
          <w:szCs w:val="20"/>
        </w:rPr>
        <w:footnoteReference w:id="2"/>
      </w:r>
      <w:r w:rsidR="002C7BE8" w:rsidRPr="006D1347">
        <w:rPr>
          <w:rFonts w:ascii="Garamond" w:hAnsi="Garamond"/>
          <w:sz w:val="20"/>
          <w:szCs w:val="20"/>
        </w:rPr>
        <w:t xml:space="preserve">, hoping that UE appears in the target </w:t>
      </w:r>
      <w:r w:rsidR="000B3AE7">
        <w:rPr>
          <w:rFonts w:ascii="Garamond" w:hAnsi="Garamond"/>
          <w:sz w:val="20"/>
          <w:szCs w:val="20"/>
        </w:rPr>
        <w:t xml:space="preserve">soon </w:t>
      </w:r>
      <w:r w:rsidR="002C7BE8" w:rsidRPr="006D1347">
        <w:rPr>
          <w:rFonts w:ascii="Garamond" w:hAnsi="Garamond"/>
          <w:sz w:val="20"/>
          <w:szCs w:val="20"/>
        </w:rPr>
        <w:t xml:space="preserve">until T304-like timer is running. </w:t>
      </w:r>
      <w:r w:rsidR="009D1821">
        <w:rPr>
          <w:rFonts w:ascii="Garamond" w:hAnsi="Garamond"/>
          <w:sz w:val="20"/>
          <w:szCs w:val="20"/>
        </w:rPr>
        <w:t>The T304-like timer is used w</w:t>
      </w:r>
      <w:r w:rsidR="009D1821" w:rsidRPr="009D1821">
        <w:rPr>
          <w:rFonts w:ascii="Garamond" w:hAnsi="Garamond"/>
          <w:sz w:val="20"/>
          <w:szCs w:val="20"/>
        </w:rPr>
        <w:t>hen early TA is available</w:t>
      </w:r>
      <w:r w:rsidR="009D1821">
        <w:rPr>
          <w:rFonts w:ascii="Garamond" w:hAnsi="Garamond"/>
          <w:sz w:val="20"/>
          <w:szCs w:val="20"/>
        </w:rPr>
        <w:t>. Both T304 and T304-like timers are configured to the UE in the RRC Reconfiguration</w:t>
      </w:r>
      <w:r w:rsidR="009D1821" w:rsidRPr="009D1821">
        <w:rPr>
          <w:rFonts w:ascii="Garamond" w:hAnsi="Garamond"/>
          <w:sz w:val="20"/>
          <w:szCs w:val="20"/>
        </w:rPr>
        <w:t xml:space="preserve"> </w:t>
      </w:r>
      <w:r w:rsidR="009D1821">
        <w:rPr>
          <w:rFonts w:ascii="Garamond" w:hAnsi="Garamond"/>
          <w:sz w:val="20"/>
          <w:szCs w:val="20"/>
        </w:rPr>
        <w:t xml:space="preserve">and T304-like timer </w:t>
      </w:r>
      <w:r w:rsidR="009D1821" w:rsidRPr="009D1821">
        <w:rPr>
          <w:rFonts w:ascii="Garamond" w:hAnsi="Garamond"/>
          <w:sz w:val="20"/>
          <w:szCs w:val="20"/>
        </w:rPr>
        <w:t xml:space="preserve">is </w:t>
      </w:r>
      <w:r w:rsidR="009D1821">
        <w:rPr>
          <w:rFonts w:ascii="Garamond" w:hAnsi="Garamond"/>
          <w:sz w:val="20"/>
          <w:szCs w:val="20"/>
        </w:rPr>
        <w:t xml:space="preserve">shorter </w:t>
      </w:r>
      <w:r w:rsidR="009D1821" w:rsidRPr="009D1821">
        <w:rPr>
          <w:rFonts w:ascii="Garamond" w:hAnsi="Garamond"/>
          <w:sz w:val="20"/>
          <w:szCs w:val="20"/>
        </w:rPr>
        <w:t>than t304</w:t>
      </w:r>
      <w:r w:rsidR="009D1821">
        <w:rPr>
          <w:rFonts w:ascii="Garamond" w:hAnsi="Garamond"/>
          <w:sz w:val="20"/>
          <w:szCs w:val="20"/>
        </w:rPr>
        <w:t>.</w:t>
      </w:r>
    </w:p>
    <w:p w14:paraId="3B697DA2" w14:textId="0E614A9A" w:rsidR="00DF20A8" w:rsidRPr="00280E9E" w:rsidRDefault="00DF20A8">
      <w:pPr>
        <w:pStyle w:val="Proposal"/>
        <w:rPr>
          <w:rFonts w:ascii="Garamond" w:hAnsi="Garamond"/>
        </w:rPr>
      </w:pPr>
      <w:r>
        <w:rPr>
          <w:rFonts w:ascii="Garamond" w:hAnsi="Garamond"/>
        </w:rPr>
        <w:t xml:space="preserve">A </w:t>
      </w:r>
      <w:r w:rsidR="004F14A0">
        <w:rPr>
          <w:rFonts w:ascii="Garamond" w:hAnsi="Garamond"/>
        </w:rPr>
        <w:t xml:space="preserve">shorter </w:t>
      </w:r>
      <w:r>
        <w:rPr>
          <w:rFonts w:ascii="Garamond" w:hAnsi="Garamond"/>
        </w:rPr>
        <w:t xml:space="preserve">T304-like timer is used to </w:t>
      </w:r>
      <w:r w:rsidR="00F63793">
        <w:rPr>
          <w:rFonts w:ascii="Garamond" w:hAnsi="Garamond"/>
        </w:rPr>
        <w:t xml:space="preserve">supervise </w:t>
      </w:r>
      <w:r>
        <w:rPr>
          <w:rFonts w:ascii="Garamond" w:hAnsi="Garamond"/>
        </w:rPr>
        <w:t xml:space="preserve">the </w:t>
      </w:r>
      <w:r w:rsidR="00F63793">
        <w:rPr>
          <w:rFonts w:ascii="Garamond" w:hAnsi="Garamond"/>
        </w:rPr>
        <w:t xml:space="preserve">completion of </w:t>
      </w:r>
      <w:r w:rsidR="00DF2F12">
        <w:rPr>
          <w:rFonts w:ascii="Garamond" w:hAnsi="Garamond"/>
        </w:rPr>
        <w:t>LTM based</w:t>
      </w:r>
      <w:r>
        <w:rPr>
          <w:rFonts w:ascii="Garamond" w:hAnsi="Garamond"/>
        </w:rPr>
        <w:t xml:space="preserve"> cell switch procedure</w:t>
      </w:r>
      <w:r w:rsidR="00DF2F12">
        <w:rPr>
          <w:rFonts w:ascii="Garamond" w:hAnsi="Garamond"/>
        </w:rPr>
        <w:t xml:space="preserve"> when Early TA for the target cell is available</w:t>
      </w:r>
      <w:r w:rsidR="00330E58">
        <w:rPr>
          <w:rFonts w:ascii="Garamond" w:hAnsi="Garamond"/>
        </w:rPr>
        <w:t xml:space="preserve"> (either UE has it already or receives the same in LTM)</w:t>
      </w:r>
      <w:r w:rsidR="004F14A0">
        <w:rPr>
          <w:rFonts w:ascii="Garamond" w:hAnsi="Garamond"/>
        </w:rPr>
        <w:t>; legacy T304 timer is used otherwise</w:t>
      </w:r>
      <w:r>
        <w:rPr>
          <w:rFonts w:ascii="Garamond" w:hAnsi="Garamond"/>
        </w:rPr>
        <w:t>.</w:t>
      </w:r>
    </w:p>
    <w:p w14:paraId="537CAE89" w14:textId="4464AC11" w:rsidR="001C317D" w:rsidRDefault="000653C0">
      <w:pPr>
        <w:pStyle w:val="Proposal"/>
        <w:rPr>
          <w:rFonts w:ascii="Garamond" w:hAnsi="Garamond"/>
        </w:rPr>
      </w:pPr>
      <w:r w:rsidRPr="000653C0">
        <w:rPr>
          <w:rFonts w:ascii="Garamond" w:hAnsi="Garamond"/>
        </w:rPr>
        <w:t>Transmission of LTM to the UE from the source cell/ DU triggers UE to monitor PDCCH in the target cell for receiving PUSCH resources, enabling the UE to announce its arrival and complete cell switch procedure</w:t>
      </w:r>
      <w:r w:rsidR="001C317D">
        <w:rPr>
          <w:rFonts w:ascii="Garamond" w:hAnsi="Garamond"/>
        </w:rPr>
        <w:t>.</w:t>
      </w:r>
    </w:p>
    <w:p w14:paraId="396D0679" w14:textId="13B43417" w:rsidR="00666D5E" w:rsidRDefault="00666D5E">
      <w:pPr>
        <w:pStyle w:val="Proposal"/>
        <w:rPr>
          <w:rFonts w:ascii="Garamond" w:hAnsi="Garamond"/>
        </w:rPr>
      </w:pPr>
      <w:r>
        <w:rPr>
          <w:rFonts w:ascii="Garamond" w:hAnsi="Garamond"/>
        </w:rPr>
        <w:t xml:space="preserve">Cell switch </w:t>
      </w:r>
      <w:r w:rsidRPr="006D1347">
        <w:rPr>
          <w:rFonts w:ascii="Garamond" w:hAnsi="Garamond"/>
        </w:rPr>
        <w:t>complet</w:t>
      </w:r>
      <w:r>
        <w:rPr>
          <w:rFonts w:ascii="Garamond" w:hAnsi="Garamond"/>
        </w:rPr>
        <w:t>ion</w:t>
      </w:r>
      <w:r w:rsidRPr="006D1347">
        <w:rPr>
          <w:rFonts w:ascii="Garamond" w:hAnsi="Garamond"/>
        </w:rPr>
        <w:t xml:space="preserve"> </w:t>
      </w:r>
      <w:r>
        <w:rPr>
          <w:rFonts w:ascii="Garamond" w:hAnsi="Garamond"/>
        </w:rPr>
        <w:t xml:space="preserve">is indicated </w:t>
      </w:r>
      <w:r w:rsidRPr="006D1347">
        <w:rPr>
          <w:rFonts w:ascii="Garamond" w:hAnsi="Garamond"/>
        </w:rPr>
        <w:t xml:space="preserve">using </w:t>
      </w:r>
      <w:r>
        <w:rPr>
          <w:rFonts w:ascii="Garamond" w:hAnsi="Garamond"/>
        </w:rPr>
        <w:t>a</w:t>
      </w:r>
      <w:r w:rsidRPr="006D1347">
        <w:rPr>
          <w:rFonts w:ascii="Garamond" w:hAnsi="Garamond"/>
        </w:rPr>
        <w:t xml:space="preserve"> MAC CE</w:t>
      </w:r>
      <w:r>
        <w:rPr>
          <w:rFonts w:ascii="Garamond" w:hAnsi="Garamond"/>
        </w:rPr>
        <w:t xml:space="preserve"> by the UE to the target cell.</w:t>
      </w:r>
    </w:p>
    <w:p w14:paraId="60909705" w14:textId="77777777" w:rsidR="00385134" w:rsidRDefault="00385134" w:rsidP="002B4D71">
      <w:pPr>
        <w:pStyle w:val="Proposal"/>
        <w:numPr>
          <w:ilvl w:val="0"/>
          <w:numId w:val="0"/>
        </w:numPr>
        <w:rPr>
          <w:rFonts w:ascii="Garamond" w:hAnsi="Garamond"/>
          <w:b w:val="0"/>
          <w:bCs w:val="0"/>
        </w:rPr>
      </w:pPr>
    </w:p>
    <w:p w14:paraId="379B6DAA" w14:textId="22FDF2C5" w:rsidR="002B4D71" w:rsidRPr="002B4D71" w:rsidRDefault="002B4D71" w:rsidP="002B4D71">
      <w:pPr>
        <w:pStyle w:val="Proposal"/>
        <w:numPr>
          <w:ilvl w:val="0"/>
          <w:numId w:val="0"/>
        </w:numPr>
        <w:rPr>
          <w:rFonts w:ascii="Garamond" w:hAnsi="Garamond"/>
          <w:b w:val="0"/>
          <w:bCs w:val="0"/>
        </w:rPr>
      </w:pPr>
      <w:r w:rsidRPr="002B4D71">
        <w:rPr>
          <w:rFonts w:ascii="Garamond" w:hAnsi="Garamond"/>
          <w:b w:val="0"/>
          <w:bCs w:val="0"/>
        </w:rPr>
        <w:t>As there may be other PUSCH options apart from CG-PUSCH and DCI based, it is better that R2 discuss this topic a bit further.</w:t>
      </w:r>
    </w:p>
    <w:p w14:paraId="6913ACDF" w14:textId="4BC119D3" w:rsidR="002B4D71" w:rsidRDefault="002B4D71">
      <w:pPr>
        <w:pStyle w:val="Proposal"/>
        <w:rPr>
          <w:rFonts w:ascii="Garamond" w:hAnsi="Garamond"/>
        </w:rPr>
      </w:pPr>
      <w:r>
        <w:rPr>
          <w:rFonts w:ascii="Garamond" w:hAnsi="Garamond"/>
        </w:rPr>
        <w:t xml:space="preserve">RAN2 discuss PUSCH options </w:t>
      </w:r>
      <w:r w:rsidR="00BE23F6">
        <w:rPr>
          <w:rFonts w:ascii="Garamond" w:hAnsi="Garamond"/>
        </w:rPr>
        <w:t xml:space="preserve">(e.g., DG or CG) </w:t>
      </w:r>
      <w:r>
        <w:rPr>
          <w:rFonts w:ascii="Garamond" w:hAnsi="Garamond"/>
        </w:rPr>
        <w:t>in the target cell to be used after the UE receives LTM.</w:t>
      </w:r>
    </w:p>
    <w:p w14:paraId="3C7F8F13" w14:textId="77777777" w:rsidR="00BA34CC" w:rsidRDefault="00BA34CC" w:rsidP="00BA34CC">
      <w:pPr>
        <w:pStyle w:val="Heading2"/>
      </w:pPr>
    </w:p>
    <w:p w14:paraId="1FD594C9" w14:textId="77777777" w:rsidR="00BA34CC" w:rsidRDefault="00BA34CC" w:rsidP="00BA34CC">
      <w:pPr>
        <w:pStyle w:val="Heading2"/>
      </w:pPr>
    </w:p>
    <w:p w14:paraId="07AD0901" w14:textId="04A09736" w:rsidR="00BA34CC" w:rsidRDefault="00BA34CC" w:rsidP="00BA34CC">
      <w:pPr>
        <w:pStyle w:val="Heading2"/>
      </w:pPr>
      <w:r>
        <w:t>Race conditions</w:t>
      </w:r>
    </w:p>
    <w:p w14:paraId="729220F9" w14:textId="77777777" w:rsidR="00BA34CC" w:rsidRDefault="00BA34CC" w:rsidP="00BA34CC">
      <w:pPr>
        <w:spacing w:after="0"/>
        <w:rPr>
          <w:rFonts w:ascii="Garamond" w:hAnsi="Garamond"/>
          <w:sz w:val="20"/>
          <w:szCs w:val="20"/>
        </w:rPr>
      </w:pPr>
    </w:p>
    <w:p w14:paraId="2C64DE64" w14:textId="05642640" w:rsidR="005F76F8" w:rsidRDefault="009F0497" w:rsidP="001C7368">
      <w:pPr>
        <w:rPr>
          <w:rFonts w:ascii="Garamond" w:hAnsi="Garamond"/>
          <w:sz w:val="20"/>
          <w:szCs w:val="20"/>
        </w:rPr>
      </w:pPr>
      <w:r w:rsidRPr="009F0497">
        <w:rPr>
          <w:rFonts w:ascii="Garamond" w:hAnsi="Garamond"/>
          <w:sz w:val="20"/>
          <w:szCs w:val="20"/>
        </w:rPr>
        <w:t xml:space="preserve">Finally, a discussion on some </w:t>
      </w:r>
      <w:r w:rsidR="00BA34CC">
        <w:rPr>
          <w:rFonts w:ascii="Garamond" w:hAnsi="Garamond"/>
          <w:sz w:val="20"/>
          <w:szCs w:val="20"/>
        </w:rPr>
        <w:t xml:space="preserve">race conditions </w:t>
      </w:r>
      <w:r w:rsidRPr="009F0497">
        <w:rPr>
          <w:rFonts w:ascii="Garamond" w:hAnsi="Garamond"/>
          <w:sz w:val="20"/>
          <w:szCs w:val="20"/>
        </w:rPr>
        <w:t xml:space="preserve">is warranted e.g., what happens when Early TA is not yet available. </w:t>
      </w:r>
      <w:r w:rsidR="00D52446">
        <w:rPr>
          <w:rFonts w:ascii="Garamond" w:hAnsi="Garamond"/>
          <w:sz w:val="20"/>
          <w:szCs w:val="20"/>
        </w:rPr>
        <w:t>In these scenarios l</w:t>
      </w:r>
      <w:r w:rsidR="00D52446" w:rsidRPr="009C40EB">
        <w:rPr>
          <w:rFonts w:ascii="Garamond" w:hAnsi="Garamond"/>
          <w:sz w:val="20"/>
          <w:szCs w:val="20"/>
        </w:rPr>
        <w:t xml:space="preserve">et’s say measurement event is met and UE reported the same to the source cell and based on this the source </w:t>
      </w:r>
      <w:r w:rsidR="00D52446">
        <w:rPr>
          <w:rFonts w:ascii="Garamond" w:hAnsi="Garamond"/>
          <w:sz w:val="20"/>
          <w:szCs w:val="20"/>
        </w:rPr>
        <w:t xml:space="preserve">cell/ DU determines that mobility condition is met and intends </w:t>
      </w:r>
      <w:r w:rsidR="00D52446" w:rsidRPr="009C40EB">
        <w:rPr>
          <w:rFonts w:ascii="Garamond" w:hAnsi="Garamond"/>
          <w:sz w:val="20"/>
          <w:szCs w:val="20"/>
        </w:rPr>
        <w:t xml:space="preserve">to </w:t>
      </w:r>
      <w:r w:rsidR="00D52446">
        <w:rPr>
          <w:rFonts w:ascii="Garamond" w:hAnsi="Garamond"/>
          <w:sz w:val="20"/>
          <w:szCs w:val="20"/>
        </w:rPr>
        <w:t xml:space="preserve">send </w:t>
      </w:r>
      <w:r w:rsidR="00D52446" w:rsidRPr="009C40EB">
        <w:rPr>
          <w:rFonts w:ascii="Garamond" w:hAnsi="Garamond"/>
          <w:sz w:val="20"/>
          <w:szCs w:val="20"/>
        </w:rPr>
        <w:t>a mobility command to the UE.</w:t>
      </w:r>
    </w:p>
    <w:p w14:paraId="2B6BD07D" w14:textId="13A956DE" w:rsidR="00904DF0" w:rsidRPr="009F0497" w:rsidRDefault="006D293C" w:rsidP="001C7368">
      <w:pPr>
        <w:rPr>
          <w:rFonts w:ascii="Garamond" w:hAnsi="Garamond"/>
          <w:sz w:val="20"/>
          <w:szCs w:val="20"/>
        </w:rPr>
      </w:pPr>
      <w:r>
        <w:rPr>
          <w:rFonts w:ascii="Garamond" w:hAnsi="Garamond"/>
          <w:sz w:val="20"/>
          <w:szCs w:val="20"/>
        </w:rPr>
        <w:t xml:space="preserve">While </w:t>
      </w:r>
      <w:r w:rsidR="00B06963">
        <w:rPr>
          <w:rFonts w:ascii="Garamond" w:hAnsi="Garamond"/>
          <w:sz w:val="20"/>
          <w:szCs w:val="20"/>
        </w:rPr>
        <w:t>Scenario 2 is relevant for both RACH and non-RACH based Early acquisition procedures</w:t>
      </w:r>
      <w:r>
        <w:rPr>
          <w:rFonts w:ascii="Garamond" w:hAnsi="Garamond"/>
          <w:sz w:val="20"/>
          <w:szCs w:val="20"/>
        </w:rPr>
        <w:t>,</w:t>
      </w:r>
      <w:r w:rsidR="00B06963">
        <w:rPr>
          <w:rFonts w:ascii="Garamond" w:hAnsi="Garamond"/>
          <w:sz w:val="20"/>
          <w:szCs w:val="20"/>
        </w:rPr>
        <w:t xml:space="preserve"> Scenarios 3 and 4 apply only when RACH based Early acquisition procedure is in use. For an overview the </w:t>
      </w:r>
      <w:r w:rsidR="009C40EB" w:rsidRPr="009C40EB">
        <w:rPr>
          <w:rFonts w:ascii="Garamond" w:hAnsi="Garamond"/>
          <w:sz w:val="20"/>
          <w:szCs w:val="20"/>
        </w:rPr>
        <w:t>following 4 possible scenarios</w:t>
      </w:r>
      <w:r w:rsidR="00B06963">
        <w:rPr>
          <w:rFonts w:ascii="Garamond" w:hAnsi="Garamond"/>
          <w:sz w:val="20"/>
          <w:szCs w:val="20"/>
        </w:rPr>
        <w:t xml:space="preserve"> are listed</w:t>
      </w:r>
      <w:r w:rsidR="009F0497" w:rsidRPr="009F0497">
        <w:rPr>
          <w:rFonts w:ascii="Garamond" w:hAnsi="Garamond"/>
          <w:sz w:val="20"/>
          <w:szCs w:val="20"/>
        </w:rPr>
        <w:t>:</w:t>
      </w:r>
    </w:p>
    <w:p w14:paraId="4093036F" w14:textId="4E4299BB" w:rsidR="007B41CA" w:rsidRDefault="007B41CA" w:rsidP="007B41C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Different Scenarios when Mobility radio Ev</w:t>
      </w:r>
      <w:r>
        <w:rPr>
          <w:noProof/>
        </w:rPr>
        <w:t>ent is triggered</w:t>
      </w:r>
    </w:p>
    <w:tbl>
      <w:tblPr>
        <w:tblW w:w="0" w:type="auto"/>
        <w:jc w:val="center"/>
        <w:tblCellMar>
          <w:left w:w="0" w:type="dxa"/>
          <w:right w:w="0" w:type="dxa"/>
        </w:tblCellMar>
        <w:tblLook w:val="04A0" w:firstRow="1" w:lastRow="0" w:firstColumn="1" w:lastColumn="0" w:noHBand="0" w:noVBand="1"/>
      </w:tblPr>
      <w:tblGrid>
        <w:gridCol w:w="4669"/>
      </w:tblGrid>
      <w:tr w:rsidR="009A47C0" w14:paraId="4E2F7DDD" w14:textId="77777777" w:rsidTr="007B41CA">
        <w:trPr>
          <w:jc w:val="center"/>
        </w:trPr>
        <w:tc>
          <w:tcPr>
            <w:tcW w:w="466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BA2F06" w14:textId="070F73ED" w:rsidR="009A47C0" w:rsidRPr="002E1240" w:rsidRDefault="009A47C0">
            <w:pPr>
              <w:jc w:val="center"/>
              <w:rPr>
                <w:rFonts w:ascii="Garamond" w:hAnsi="Garamond"/>
                <w:b/>
                <w:bCs/>
                <w:sz w:val="20"/>
                <w:szCs w:val="20"/>
                <w:u w:val="single"/>
                <w:lang w:val="en-GB"/>
              </w:rPr>
            </w:pPr>
            <w:r w:rsidRPr="002E1240">
              <w:rPr>
                <w:rFonts w:ascii="Garamond" w:hAnsi="Garamond"/>
                <w:b/>
                <w:bCs/>
                <w:sz w:val="20"/>
                <w:szCs w:val="20"/>
                <w:u w:val="single"/>
                <w:lang w:val="en-GB"/>
              </w:rPr>
              <w:t>Scenario</w:t>
            </w:r>
            <w:r>
              <w:rPr>
                <w:rFonts w:ascii="Garamond" w:hAnsi="Garamond"/>
                <w:b/>
                <w:bCs/>
                <w:sz w:val="20"/>
                <w:szCs w:val="20"/>
                <w:u w:val="single"/>
                <w:lang w:val="en-GB"/>
              </w:rPr>
              <w:t>s</w:t>
            </w:r>
          </w:p>
        </w:tc>
      </w:tr>
      <w:tr w:rsidR="009A47C0" w14:paraId="126D74AD" w14:textId="77777777" w:rsidTr="007B41CA">
        <w:trPr>
          <w:jc w:val="center"/>
        </w:trPr>
        <w:tc>
          <w:tcPr>
            <w:tcW w:w="46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C6267" w14:textId="77777777" w:rsidR="009A47C0" w:rsidRDefault="009A47C0">
            <w:pPr>
              <w:rPr>
                <w:rFonts w:ascii="Garamond" w:hAnsi="Garamond"/>
                <w:sz w:val="20"/>
                <w:szCs w:val="20"/>
                <w:lang w:val="en-GB"/>
              </w:rPr>
            </w:pPr>
            <w:r>
              <w:rPr>
                <w:rFonts w:ascii="Garamond" w:hAnsi="Garamond"/>
                <w:sz w:val="20"/>
                <w:szCs w:val="20"/>
                <w:lang w:val="en-GB"/>
              </w:rPr>
              <w:t>Scenario 1:</w:t>
            </w:r>
          </w:p>
          <w:p w14:paraId="0357B81A" w14:textId="0ECDD427" w:rsidR="009A47C0" w:rsidRDefault="009A47C0">
            <w:pPr>
              <w:rPr>
                <w:rFonts w:ascii="Garamond" w:hAnsi="Garamond"/>
                <w:sz w:val="20"/>
                <w:szCs w:val="20"/>
                <w:lang w:val="en-GB"/>
              </w:rPr>
            </w:pPr>
            <w:r>
              <w:rPr>
                <w:rFonts w:ascii="Garamond" w:hAnsi="Garamond"/>
                <w:sz w:val="20"/>
                <w:szCs w:val="20"/>
                <w:lang w:val="en-GB"/>
              </w:rPr>
              <w:t>Early TA available at the UE and the source cell/ DU knows about it</w:t>
            </w:r>
            <w:r w:rsidR="00B06963">
              <w:rPr>
                <w:rFonts w:ascii="Garamond" w:hAnsi="Garamond"/>
                <w:sz w:val="20"/>
                <w:szCs w:val="20"/>
                <w:lang w:val="en-GB"/>
              </w:rPr>
              <w:t xml:space="preserve">: </w:t>
            </w:r>
            <w:r w:rsidR="00B06963" w:rsidRPr="00B06963">
              <w:rPr>
                <w:rFonts w:ascii="Garamond" w:hAnsi="Garamond"/>
                <w:b/>
                <w:bCs/>
                <w:sz w:val="20"/>
                <w:szCs w:val="20"/>
                <w:u w:val="single"/>
                <w:lang w:val="en-GB"/>
              </w:rPr>
              <w:t>No issue</w:t>
            </w:r>
          </w:p>
        </w:tc>
      </w:tr>
      <w:tr w:rsidR="009A47C0" w14:paraId="22A780BA" w14:textId="77777777" w:rsidTr="007B41CA">
        <w:trPr>
          <w:jc w:val="center"/>
        </w:trPr>
        <w:tc>
          <w:tcPr>
            <w:tcW w:w="46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1C719" w14:textId="77777777" w:rsidR="009A47C0" w:rsidRDefault="009A47C0">
            <w:pPr>
              <w:rPr>
                <w:rFonts w:ascii="Garamond" w:hAnsi="Garamond"/>
                <w:sz w:val="20"/>
                <w:szCs w:val="20"/>
                <w:lang w:val="en-GB"/>
              </w:rPr>
            </w:pPr>
            <w:r>
              <w:rPr>
                <w:rFonts w:ascii="Garamond" w:hAnsi="Garamond"/>
                <w:sz w:val="20"/>
                <w:szCs w:val="20"/>
                <w:lang w:val="en-GB"/>
              </w:rPr>
              <w:t>Scenario 2:</w:t>
            </w:r>
          </w:p>
          <w:p w14:paraId="06DFD10B" w14:textId="77777777" w:rsidR="009A47C0" w:rsidRDefault="009A47C0">
            <w:pPr>
              <w:rPr>
                <w:rFonts w:ascii="Garamond" w:hAnsi="Garamond"/>
                <w:sz w:val="20"/>
                <w:szCs w:val="20"/>
                <w:lang w:val="en-GB"/>
              </w:rPr>
            </w:pPr>
            <w:r>
              <w:rPr>
                <w:rFonts w:ascii="Garamond" w:hAnsi="Garamond"/>
                <w:sz w:val="20"/>
                <w:szCs w:val="20"/>
                <w:lang w:val="en-GB"/>
              </w:rPr>
              <w:t>Early TA not available</w:t>
            </w:r>
          </w:p>
        </w:tc>
      </w:tr>
      <w:tr w:rsidR="009A47C0" w14:paraId="748B771B" w14:textId="77777777" w:rsidTr="007B41CA">
        <w:trPr>
          <w:jc w:val="center"/>
        </w:trPr>
        <w:tc>
          <w:tcPr>
            <w:tcW w:w="46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021C1E" w14:textId="77777777" w:rsidR="009A47C0" w:rsidRDefault="009A47C0">
            <w:pPr>
              <w:rPr>
                <w:rFonts w:ascii="Garamond" w:hAnsi="Garamond"/>
                <w:sz w:val="20"/>
                <w:szCs w:val="20"/>
                <w:lang w:val="en-GB"/>
              </w:rPr>
            </w:pPr>
            <w:r>
              <w:rPr>
                <w:rFonts w:ascii="Garamond" w:hAnsi="Garamond"/>
                <w:sz w:val="20"/>
                <w:szCs w:val="20"/>
                <w:lang w:val="en-GB"/>
              </w:rPr>
              <w:t>Scenario 3:</w:t>
            </w:r>
          </w:p>
          <w:p w14:paraId="5EFD5562" w14:textId="2DC4B69A" w:rsidR="009A47C0" w:rsidRDefault="009A47C0">
            <w:pPr>
              <w:rPr>
                <w:rFonts w:ascii="Garamond" w:hAnsi="Garamond"/>
                <w:sz w:val="20"/>
                <w:szCs w:val="20"/>
                <w:lang w:val="en-GB"/>
              </w:rPr>
            </w:pPr>
            <w:r>
              <w:rPr>
                <w:rFonts w:ascii="Garamond" w:hAnsi="Garamond"/>
                <w:sz w:val="20"/>
                <w:szCs w:val="20"/>
                <w:lang w:val="en-GB"/>
              </w:rPr>
              <w:t>Early TA available at the UE but source does not know about it yet (since the UE could not inform successfully so far)</w:t>
            </w:r>
          </w:p>
        </w:tc>
      </w:tr>
      <w:tr w:rsidR="009A47C0" w14:paraId="497C7550" w14:textId="77777777" w:rsidTr="007B41CA">
        <w:trPr>
          <w:jc w:val="center"/>
        </w:trPr>
        <w:tc>
          <w:tcPr>
            <w:tcW w:w="46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652D3D" w14:textId="77777777" w:rsidR="009A47C0" w:rsidRDefault="009A47C0">
            <w:pPr>
              <w:rPr>
                <w:rFonts w:ascii="Garamond" w:hAnsi="Garamond"/>
                <w:sz w:val="20"/>
                <w:szCs w:val="20"/>
                <w:lang w:val="en-GB"/>
              </w:rPr>
            </w:pPr>
            <w:r>
              <w:rPr>
                <w:rFonts w:ascii="Garamond" w:hAnsi="Garamond"/>
                <w:sz w:val="20"/>
                <w:szCs w:val="20"/>
                <w:lang w:val="en-GB"/>
              </w:rPr>
              <w:t>Scenario 4:</w:t>
            </w:r>
          </w:p>
          <w:p w14:paraId="35853C53" w14:textId="77777777" w:rsidR="009A47C0" w:rsidRDefault="009A47C0">
            <w:pPr>
              <w:rPr>
                <w:rFonts w:ascii="Garamond" w:hAnsi="Garamond"/>
                <w:sz w:val="20"/>
                <w:szCs w:val="20"/>
                <w:lang w:val="en-GB"/>
              </w:rPr>
            </w:pPr>
            <w:r>
              <w:rPr>
                <w:rFonts w:ascii="Garamond" w:hAnsi="Garamond"/>
                <w:sz w:val="20"/>
                <w:szCs w:val="20"/>
                <w:lang w:val="en-GB"/>
              </w:rPr>
              <w:t>Early TA procedure is ongoing</w:t>
            </w:r>
          </w:p>
        </w:tc>
      </w:tr>
    </w:tbl>
    <w:p w14:paraId="1BEB9088" w14:textId="6511FA8B" w:rsidR="009F0497" w:rsidRDefault="009F0497" w:rsidP="001C7368"/>
    <w:p w14:paraId="23066884" w14:textId="2157EF1B" w:rsidR="009A47C0" w:rsidRDefault="00D06DAC" w:rsidP="00BA34CC">
      <w:pPr>
        <w:rPr>
          <w:rFonts w:ascii="Garamond" w:hAnsi="Garamond"/>
          <w:sz w:val="20"/>
          <w:szCs w:val="20"/>
        </w:rPr>
      </w:pPr>
      <w:r>
        <w:rPr>
          <w:rFonts w:ascii="Garamond" w:hAnsi="Garamond"/>
          <w:sz w:val="20"/>
          <w:szCs w:val="20"/>
        </w:rPr>
        <w:t>As one option, the source</w:t>
      </w:r>
      <w:r w:rsidR="00BA34CC" w:rsidRPr="00BA34CC">
        <w:rPr>
          <w:rFonts w:ascii="Garamond" w:hAnsi="Garamond"/>
          <w:sz w:val="20"/>
          <w:szCs w:val="20"/>
        </w:rPr>
        <w:t xml:space="preserve"> cell</w:t>
      </w:r>
      <w:r>
        <w:rPr>
          <w:rFonts w:ascii="Garamond" w:hAnsi="Garamond"/>
          <w:sz w:val="20"/>
          <w:szCs w:val="20"/>
        </w:rPr>
        <w:t>/ DU</w:t>
      </w:r>
      <w:r w:rsidR="00BA34CC" w:rsidRPr="00BA34CC">
        <w:rPr>
          <w:rFonts w:ascii="Garamond" w:hAnsi="Garamond"/>
          <w:sz w:val="20"/>
          <w:szCs w:val="20"/>
        </w:rPr>
        <w:t xml:space="preserve"> upon arriving at a mobility decision includes a RACH request in the LTM command for mobility to a given target cell. The RACH request is included with or without dedicated PRACH resources depending on if dedicated PRACH resources were reserved by the target cell or not. In addition, while sending the LTM to the UE, source cell/ DU can inform target cell/ DU to start sending DL PDCCH with PUSCH grants to the UE in question. If handshaking to start sending DL PDCCH with PUSCH grants to the UE in question is successful the source cell/ DU can indicate explicitly in the LTM command if dynamic PUSCH grant can be expected from the target cell (or not). </w:t>
      </w:r>
      <w:r>
        <w:rPr>
          <w:rFonts w:ascii="Garamond" w:hAnsi="Garamond"/>
          <w:sz w:val="20"/>
          <w:szCs w:val="20"/>
        </w:rPr>
        <w:t>UE will initiate a RACH procedure if an Early TA is not obtained yet or if a RACH procedure for the same towards the target cell is not yet ongoing.</w:t>
      </w:r>
    </w:p>
    <w:p w14:paraId="7C0E2AC1" w14:textId="26A42038" w:rsidR="00431D11" w:rsidRDefault="00D06DAC" w:rsidP="00BA34CC">
      <w:pPr>
        <w:rPr>
          <w:rFonts w:ascii="Garamond" w:hAnsi="Garamond"/>
          <w:sz w:val="20"/>
          <w:szCs w:val="20"/>
        </w:rPr>
      </w:pPr>
      <w:r>
        <w:rPr>
          <w:rFonts w:ascii="Garamond" w:hAnsi="Garamond"/>
          <w:sz w:val="20"/>
          <w:szCs w:val="20"/>
        </w:rPr>
        <w:t xml:space="preserve">Alternatively, in cases when the source </w:t>
      </w:r>
      <w:r w:rsidRPr="00BA34CC">
        <w:rPr>
          <w:rFonts w:ascii="Garamond" w:hAnsi="Garamond"/>
          <w:sz w:val="20"/>
          <w:szCs w:val="20"/>
        </w:rPr>
        <w:t>cell</w:t>
      </w:r>
      <w:r>
        <w:rPr>
          <w:rFonts w:ascii="Garamond" w:hAnsi="Garamond"/>
          <w:sz w:val="20"/>
          <w:szCs w:val="20"/>
        </w:rPr>
        <w:t>/ DU</w:t>
      </w:r>
      <w:r w:rsidRPr="00BA34CC">
        <w:rPr>
          <w:rFonts w:ascii="Garamond" w:hAnsi="Garamond"/>
          <w:sz w:val="20"/>
          <w:szCs w:val="20"/>
        </w:rPr>
        <w:t xml:space="preserve"> </w:t>
      </w:r>
      <w:r>
        <w:rPr>
          <w:rFonts w:ascii="Garamond" w:hAnsi="Garamond"/>
          <w:sz w:val="20"/>
          <w:szCs w:val="20"/>
        </w:rPr>
        <w:t xml:space="preserve">is not aware of an Early TA acquisition/ value it informs CU which initiates legacy L3 based handover procedure i.e., sends RRC Reconfiguration to the UE including </w:t>
      </w:r>
      <w:r w:rsidRPr="00D06DAC">
        <w:rPr>
          <w:rFonts w:ascii="Garamond" w:hAnsi="Garamond"/>
          <w:i/>
          <w:iCs/>
          <w:sz w:val="20"/>
          <w:szCs w:val="20"/>
        </w:rPr>
        <w:t>ReconfigurationWithSync</w:t>
      </w:r>
      <w:r>
        <w:rPr>
          <w:rFonts w:ascii="Garamond" w:hAnsi="Garamond"/>
          <w:sz w:val="20"/>
          <w:szCs w:val="20"/>
        </w:rPr>
        <w:t xml:space="preserve">. </w:t>
      </w:r>
      <w:r w:rsidR="00431D11" w:rsidRPr="00BA34CC">
        <w:rPr>
          <w:rFonts w:ascii="Garamond" w:hAnsi="Garamond"/>
          <w:sz w:val="20"/>
          <w:szCs w:val="20"/>
        </w:rPr>
        <w:t>UE performs legacy based mobility execution if ReconfigurationWithSync is received.</w:t>
      </w:r>
      <w:r w:rsidR="00480AB5">
        <w:rPr>
          <w:rFonts w:ascii="Garamond" w:hAnsi="Garamond"/>
          <w:sz w:val="20"/>
          <w:szCs w:val="20"/>
        </w:rPr>
        <w:t xml:space="preserve"> Both options have merits and demerits, and it is best to have some RAN2 discussion on this.</w:t>
      </w:r>
    </w:p>
    <w:p w14:paraId="4C19E078" w14:textId="34069E17" w:rsidR="00480AB5" w:rsidRPr="00BA34CC" w:rsidRDefault="00480AB5" w:rsidP="002A22C9">
      <w:pPr>
        <w:pStyle w:val="Proposal"/>
        <w:rPr>
          <w:rFonts w:ascii="Garamond" w:hAnsi="Garamond"/>
        </w:rPr>
      </w:pPr>
      <w:r>
        <w:rPr>
          <w:rFonts w:ascii="Garamond" w:hAnsi="Garamond"/>
        </w:rPr>
        <w:lastRenderedPageBreak/>
        <w:t>RAN2 should discuss how to deal with cases when the source DU</w:t>
      </w:r>
      <w:r w:rsidRPr="00BA34CC">
        <w:rPr>
          <w:rFonts w:ascii="Garamond" w:hAnsi="Garamond"/>
          <w:lang w:val="en-US" w:eastAsia="en-US"/>
        </w:rPr>
        <w:t xml:space="preserve"> </w:t>
      </w:r>
      <w:r>
        <w:rPr>
          <w:rFonts w:ascii="Garamond" w:hAnsi="Garamond"/>
        </w:rPr>
        <w:t xml:space="preserve">is not aware of an Early TA acquisition/ value </w:t>
      </w:r>
      <w:r w:rsidR="002A22C9">
        <w:rPr>
          <w:rFonts w:ascii="Garamond" w:hAnsi="Garamond"/>
        </w:rPr>
        <w:t xml:space="preserve">but </w:t>
      </w:r>
      <w:r>
        <w:rPr>
          <w:rFonts w:ascii="Garamond" w:hAnsi="Garamond"/>
        </w:rPr>
        <w:t xml:space="preserve">otherwise </w:t>
      </w:r>
      <w:r w:rsidRPr="00BA34CC">
        <w:rPr>
          <w:rFonts w:ascii="Garamond" w:hAnsi="Garamond"/>
          <w:lang w:val="en-US" w:eastAsia="en-US"/>
        </w:rPr>
        <w:t>a mobility decision</w:t>
      </w:r>
      <w:r>
        <w:rPr>
          <w:rFonts w:ascii="Garamond" w:hAnsi="Garamond"/>
        </w:rPr>
        <w:t xml:space="preserve"> </w:t>
      </w:r>
      <w:r w:rsidR="002A22C9">
        <w:rPr>
          <w:rFonts w:ascii="Garamond" w:hAnsi="Garamond"/>
        </w:rPr>
        <w:t xml:space="preserve">based on L1/ L2 measurement report </w:t>
      </w:r>
      <w:r>
        <w:rPr>
          <w:rFonts w:ascii="Garamond" w:hAnsi="Garamond"/>
        </w:rPr>
        <w:t>can be reached</w:t>
      </w:r>
      <w:r w:rsidR="002A22C9">
        <w:rPr>
          <w:rFonts w:ascii="Garamond" w:hAnsi="Garamond"/>
        </w:rPr>
        <w:t>.</w:t>
      </w:r>
    </w:p>
    <w:p w14:paraId="09001352" w14:textId="77777777" w:rsidR="005A7ADF" w:rsidRPr="00480AB5" w:rsidRDefault="005A7ADF" w:rsidP="00480AB5">
      <w:r>
        <w:rPr>
          <w:rFonts w:ascii="Times New Roman" w:hAnsi="Times New Roman"/>
          <w:b/>
          <w:sz w:val="32"/>
          <w:szCs w:val="32"/>
          <w:lang w:eastAsia="zh-CN"/>
        </w:rPr>
        <w:br w:type="page"/>
      </w:r>
    </w:p>
    <w:p w14:paraId="185FB279" w14:textId="637134B6"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lastRenderedPageBreak/>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13637357" w:rsidR="00CE5633" w:rsidRPr="00742E3F" w:rsidRDefault="00D40CED" w:rsidP="00D40CED">
      <w:pPr>
        <w:rPr>
          <w:rFonts w:ascii="Garamond" w:hAnsi="Garamond" w:cs="Times New Roman"/>
          <w:sz w:val="20"/>
          <w:szCs w:val="20"/>
        </w:rPr>
      </w:pPr>
      <w:r w:rsidRPr="00A7299E">
        <w:rPr>
          <w:rFonts w:ascii="Garamond" w:hAnsi="Garamond"/>
          <w:sz w:val="20"/>
          <w:szCs w:val="20"/>
        </w:rPr>
        <w:t xml:space="preserve">Early TA acquisition is a cornerstone for saving latency in the lower layer based mobility work. This paper </w:t>
      </w:r>
      <w:r>
        <w:rPr>
          <w:rFonts w:ascii="Garamond" w:hAnsi="Garamond"/>
          <w:sz w:val="20"/>
          <w:szCs w:val="20"/>
        </w:rPr>
        <w:t>went</w:t>
      </w:r>
      <w:r w:rsidRPr="00A7299E">
        <w:rPr>
          <w:rFonts w:ascii="Garamond" w:hAnsi="Garamond"/>
          <w:sz w:val="20"/>
          <w:szCs w:val="20"/>
        </w:rPr>
        <w:t xml:space="preserve"> in the details of Early TA acquisition procedure and builds on both RAN1 and RAN2 progress from the last meeting.</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E87350" w:rsidRPr="00742E3F">
        <w:rPr>
          <w:rFonts w:ascii="Garamond" w:hAnsi="Garamond" w:cs="Times New Roman"/>
          <w:sz w:val="20"/>
          <w:szCs w:val="20"/>
        </w:rPr>
        <w:t xml:space="preserve"> </w:t>
      </w:r>
      <w:r w:rsidR="00E87350">
        <w:rPr>
          <w:rFonts w:ascii="Garamond" w:hAnsi="Garamond" w:cs="Times New Roman"/>
          <w:sz w:val="20"/>
          <w:szCs w:val="20"/>
        </w:rPr>
        <w:t xml:space="preserve">are </w:t>
      </w:r>
      <w:r w:rsidR="00E87350" w:rsidRPr="00742E3F">
        <w:rPr>
          <w:rFonts w:ascii="Garamond" w:hAnsi="Garamond" w:cs="Times New Roman"/>
          <w:sz w:val="20"/>
          <w:szCs w:val="20"/>
        </w:rPr>
        <w:t>made:</w:t>
      </w:r>
    </w:p>
    <w:p w14:paraId="1B3C95E7" w14:textId="2451E5DF" w:rsidR="00F15F98" w:rsidRDefault="00F15F98" w:rsidP="00F15F98">
      <w:pPr>
        <w:pStyle w:val="Proposal"/>
        <w:numPr>
          <w:ilvl w:val="0"/>
          <w:numId w:val="12"/>
        </w:numPr>
        <w:rPr>
          <w:rFonts w:ascii="Garamond" w:hAnsi="Garamond"/>
        </w:rPr>
      </w:pPr>
      <w:r w:rsidRPr="00F15F98">
        <w:rPr>
          <w:rFonts w:ascii="Garamond" w:hAnsi="Garamond"/>
        </w:rPr>
        <w:t>Network shall configure Early TA acquisition for bare minimum candidate cells. FFS: the exact value e.g., 2.</w:t>
      </w:r>
    </w:p>
    <w:p w14:paraId="793F3838" w14:textId="11DD42FC" w:rsidR="00C416EA" w:rsidRPr="00973F26" w:rsidRDefault="00F15F98" w:rsidP="00CE672E">
      <w:pPr>
        <w:pStyle w:val="Proposal"/>
        <w:numPr>
          <w:ilvl w:val="0"/>
          <w:numId w:val="12"/>
        </w:numPr>
        <w:rPr>
          <w:rFonts w:ascii="Garamond" w:hAnsi="Garamond"/>
        </w:rPr>
      </w:pPr>
      <w:r w:rsidRPr="00F15F98">
        <w:rPr>
          <w:rFonts w:ascii="Garamond" w:hAnsi="Garamond"/>
        </w:rPr>
        <w:t>RAN2 discuss means to shortlist candidate cells for the Early TA acquisition.</w:t>
      </w:r>
    </w:p>
    <w:p w14:paraId="599B2A9D" w14:textId="54DB39A4" w:rsidR="00CE672E" w:rsidRPr="00CE672E" w:rsidRDefault="00CE672E" w:rsidP="00CE672E">
      <w:pPr>
        <w:rPr>
          <w:rFonts w:ascii="Garamond" w:hAnsi="Garamond"/>
          <w:u w:val="single"/>
        </w:rPr>
      </w:pPr>
      <w:r w:rsidRPr="00CE672E">
        <w:rPr>
          <w:rFonts w:ascii="Garamond" w:hAnsi="Garamond"/>
          <w:u w:val="single"/>
        </w:rPr>
        <w:t>RACH based Early TA acquisition:</w:t>
      </w:r>
    </w:p>
    <w:p w14:paraId="4C0035BE" w14:textId="77777777" w:rsidR="00BB4A77" w:rsidRPr="00BB4A77" w:rsidRDefault="00BB4A77" w:rsidP="00BB4A77">
      <w:pPr>
        <w:pStyle w:val="Proposal"/>
        <w:numPr>
          <w:ilvl w:val="0"/>
          <w:numId w:val="12"/>
        </w:numPr>
        <w:rPr>
          <w:rFonts w:ascii="Garamond" w:hAnsi="Garamond"/>
        </w:rPr>
      </w:pPr>
      <w:r w:rsidRPr="00BB4A77">
        <w:rPr>
          <w:rFonts w:ascii="Garamond" w:hAnsi="Garamond"/>
        </w:rPr>
        <w:t xml:space="preserve">UE indicates to the current serving gNB (DU) if an early TA has been acquired (or fails to acquire) for a candidate cell. </w:t>
      </w:r>
    </w:p>
    <w:p w14:paraId="3F1A8B19" w14:textId="77777777" w:rsidR="00BB4A77" w:rsidRPr="00BB4A77" w:rsidRDefault="00BB4A77" w:rsidP="00BB4A77">
      <w:pPr>
        <w:pStyle w:val="Proposal"/>
        <w:numPr>
          <w:ilvl w:val="0"/>
          <w:numId w:val="12"/>
        </w:numPr>
        <w:rPr>
          <w:rFonts w:ascii="Garamond" w:hAnsi="Garamond"/>
        </w:rPr>
      </w:pPr>
      <w:r w:rsidRPr="00BB4A77">
        <w:rPr>
          <w:rFonts w:ascii="Garamond" w:hAnsi="Garamond"/>
        </w:rPr>
        <w:t>UE reports measurement results and may include an indication confirming if an Early TA has been obtained (or that it failed to obtain) for the corresponding reported cell, if the Early TA availability has not been reported separately.</w:t>
      </w:r>
    </w:p>
    <w:p w14:paraId="3D916930" w14:textId="3F913311" w:rsidR="00BB4A77" w:rsidRPr="00BB4A77" w:rsidRDefault="00BB4A77" w:rsidP="00BB4A77">
      <w:pPr>
        <w:pStyle w:val="Proposal"/>
        <w:numPr>
          <w:ilvl w:val="0"/>
          <w:numId w:val="12"/>
        </w:numPr>
        <w:rPr>
          <w:rFonts w:ascii="Garamond" w:hAnsi="Garamond"/>
        </w:rPr>
      </w:pPr>
      <w:r w:rsidRPr="00BB4A77">
        <w:rPr>
          <w:rFonts w:ascii="Garamond" w:hAnsi="Garamond"/>
        </w:rPr>
        <w:t>Validity of an early TA can be controlled by UE using a legacy like TAT timer.</w:t>
      </w:r>
    </w:p>
    <w:p w14:paraId="712282F3" w14:textId="77777777" w:rsidR="00BB4A77" w:rsidRPr="00BB4A77" w:rsidRDefault="00BB4A77" w:rsidP="00BB4A77">
      <w:pPr>
        <w:pStyle w:val="Proposal"/>
        <w:numPr>
          <w:ilvl w:val="0"/>
          <w:numId w:val="12"/>
        </w:numPr>
        <w:rPr>
          <w:rFonts w:ascii="Garamond" w:hAnsi="Garamond"/>
        </w:rPr>
      </w:pPr>
      <w:r w:rsidRPr="00BB4A77">
        <w:rPr>
          <w:rFonts w:ascii="Garamond" w:hAnsi="Garamond"/>
        </w:rPr>
        <w:t>The acquired Early TA value can be kept by UE after successful cell switch.</w:t>
      </w:r>
    </w:p>
    <w:p w14:paraId="026A0ACC" w14:textId="77777777" w:rsidR="00CD6A9C" w:rsidRPr="00CD6A9C" w:rsidRDefault="00CD6A9C" w:rsidP="00CD6A9C">
      <w:pPr>
        <w:pStyle w:val="Proposal"/>
        <w:numPr>
          <w:ilvl w:val="0"/>
          <w:numId w:val="12"/>
        </w:numPr>
        <w:rPr>
          <w:rFonts w:ascii="Garamond" w:hAnsi="Garamond"/>
        </w:rPr>
      </w:pPr>
      <w:r w:rsidRPr="00CD6A9C">
        <w:rPr>
          <w:rFonts w:ascii="Garamond" w:hAnsi="Garamond"/>
        </w:rPr>
        <w:t>RAN2 to discuss how NW can distinguish between RACH for early TA acquisition and legacy RACH for HO, e.g., dedicated RACH resources can be configured to the UE to differentiate between RACH resource for obtaining early TA and also for normal RACH resources for handover.</w:t>
      </w:r>
    </w:p>
    <w:p w14:paraId="024982BD" w14:textId="22C06D01" w:rsidR="00B14A1C" w:rsidRPr="00973F26" w:rsidRDefault="00CD6A9C" w:rsidP="006C3868">
      <w:pPr>
        <w:pStyle w:val="Proposal"/>
        <w:numPr>
          <w:ilvl w:val="0"/>
          <w:numId w:val="12"/>
        </w:numPr>
        <w:rPr>
          <w:rFonts w:ascii="Garamond" w:hAnsi="Garamond"/>
        </w:rPr>
      </w:pPr>
      <w:r w:rsidRPr="00CD6A9C">
        <w:rPr>
          <w:rFonts w:ascii="Garamond" w:hAnsi="Garamond"/>
        </w:rPr>
        <w:t xml:space="preserve">RACH message 3 can contain early TA indication when dedicated PRACH resources specifically for Early TA is not provided to the UE. </w:t>
      </w:r>
    </w:p>
    <w:p w14:paraId="6BA7148B" w14:textId="78AF908E" w:rsidR="006C3868" w:rsidRPr="007828DA" w:rsidRDefault="00804570" w:rsidP="006C3868">
      <w:pPr>
        <w:rPr>
          <w:rFonts w:ascii="Garamond" w:hAnsi="Garamond"/>
          <w:u w:val="single"/>
        </w:rPr>
      </w:pPr>
      <w:r>
        <w:rPr>
          <w:rFonts w:ascii="Garamond" w:hAnsi="Garamond"/>
          <w:u w:val="single"/>
        </w:rPr>
        <w:t>Non-</w:t>
      </w:r>
      <w:r w:rsidR="006C3868" w:rsidRPr="006C3868">
        <w:rPr>
          <w:rFonts w:ascii="Garamond" w:hAnsi="Garamond"/>
          <w:u w:val="single"/>
        </w:rPr>
        <w:t xml:space="preserve">RACH </w:t>
      </w:r>
      <w:r>
        <w:rPr>
          <w:rFonts w:ascii="Garamond" w:hAnsi="Garamond"/>
          <w:u w:val="single"/>
        </w:rPr>
        <w:t xml:space="preserve">(UL RS) </w:t>
      </w:r>
      <w:r w:rsidR="006C3868" w:rsidRPr="006C3868">
        <w:rPr>
          <w:rFonts w:ascii="Garamond" w:hAnsi="Garamond"/>
          <w:u w:val="single"/>
        </w:rPr>
        <w:t>based Early TA acquisition:</w:t>
      </w:r>
    </w:p>
    <w:p w14:paraId="049EA542" w14:textId="77777777" w:rsidR="00CD6A9C" w:rsidRPr="00CD6A9C" w:rsidRDefault="00CD6A9C" w:rsidP="00CD6A9C">
      <w:pPr>
        <w:pStyle w:val="Proposal"/>
        <w:numPr>
          <w:ilvl w:val="0"/>
          <w:numId w:val="12"/>
        </w:numPr>
        <w:rPr>
          <w:rFonts w:ascii="Garamond" w:hAnsi="Garamond"/>
        </w:rPr>
      </w:pPr>
      <w:r w:rsidRPr="00CD6A9C">
        <w:rPr>
          <w:rFonts w:ascii="Garamond" w:hAnsi="Garamond"/>
        </w:rPr>
        <w:t>The TA value to be used towards the candidate (target) cell is indicated in the LTM command if non-RACH procedure is to be used for Early TA acquisition.</w:t>
      </w:r>
    </w:p>
    <w:p w14:paraId="33FFD588" w14:textId="3A73F4C8" w:rsidR="00B14A1C" w:rsidRPr="00973F26" w:rsidRDefault="00CD6A9C" w:rsidP="007129AD">
      <w:pPr>
        <w:pStyle w:val="Proposal"/>
        <w:numPr>
          <w:ilvl w:val="0"/>
          <w:numId w:val="12"/>
        </w:numPr>
        <w:rPr>
          <w:rFonts w:ascii="Garamond" w:hAnsi="Garamond"/>
        </w:rPr>
      </w:pPr>
      <w:r w:rsidRPr="00CD6A9C">
        <w:rPr>
          <w:rFonts w:ascii="Garamond" w:hAnsi="Garamond"/>
        </w:rPr>
        <w:t>Validity of an early TA for a UE-candidate cell pair, can be controlled by source cell using a legacy like TAT timer.</w:t>
      </w:r>
    </w:p>
    <w:p w14:paraId="7A600EB8" w14:textId="48B07185" w:rsidR="007129AD" w:rsidRPr="007129AD" w:rsidRDefault="007129AD" w:rsidP="007129AD">
      <w:pPr>
        <w:rPr>
          <w:rFonts w:ascii="Garamond" w:hAnsi="Garamond"/>
          <w:u w:val="single"/>
        </w:rPr>
      </w:pPr>
      <w:r w:rsidRPr="007129AD">
        <w:rPr>
          <w:rFonts w:ascii="Garamond" w:hAnsi="Garamond"/>
          <w:u w:val="single"/>
        </w:rPr>
        <w:t>Mobility Execution:</w:t>
      </w:r>
    </w:p>
    <w:p w14:paraId="139F28A4" w14:textId="77777777" w:rsidR="006C1536" w:rsidRPr="006C1536" w:rsidRDefault="006C1536" w:rsidP="006C1536">
      <w:pPr>
        <w:pStyle w:val="Proposal"/>
        <w:numPr>
          <w:ilvl w:val="0"/>
          <w:numId w:val="12"/>
        </w:numPr>
        <w:rPr>
          <w:rFonts w:ascii="Garamond" w:hAnsi="Garamond"/>
        </w:rPr>
      </w:pPr>
      <w:r w:rsidRPr="006C1536">
        <w:rPr>
          <w:rFonts w:ascii="Garamond" w:hAnsi="Garamond"/>
        </w:rPr>
        <w:t>A shorter T304-like timer is used to supervise the completion of LTM based cell switch procedure when Early TA for the target cell is available (either UE has it already or receives the same in LTM); legacy T304 timer is used otherwise.</w:t>
      </w:r>
    </w:p>
    <w:p w14:paraId="5BE6D19A" w14:textId="77777777" w:rsidR="006C1536" w:rsidRPr="006C1536" w:rsidRDefault="006C1536" w:rsidP="006C1536">
      <w:pPr>
        <w:pStyle w:val="Proposal"/>
        <w:numPr>
          <w:ilvl w:val="0"/>
          <w:numId w:val="12"/>
        </w:numPr>
        <w:rPr>
          <w:rFonts w:ascii="Garamond" w:hAnsi="Garamond"/>
        </w:rPr>
      </w:pPr>
      <w:r w:rsidRPr="006C1536">
        <w:rPr>
          <w:rFonts w:ascii="Garamond" w:hAnsi="Garamond"/>
        </w:rPr>
        <w:t>Transmission of LTM to the UE from the source cell/ DU triggers UE to monitor PDCCH in the target cell for receiving PUSCH resources, enabling the UE to announce its arrival and complete cell switch procedure.</w:t>
      </w:r>
    </w:p>
    <w:p w14:paraId="4BB68526" w14:textId="7776FEA5" w:rsidR="006C1536" w:rsidRPr="00413775" w:rsidRDefault="006C1536" w:rsidP="00413775">
      <w:pPr>
        <w:pStyle w:val="Proposal"/>
        <w:numPr>
          <w:ilvl w:val="0"/>
          <w:numId w:val="12"/>
        </w:numPr>
        <w:rPr>
          <w:rFonts w:ascii="Garamond" w:hAnsi="Garamond"/>
        </w:rPr>
      </w:pPr>
      <w:r w:rsidRPr="006C1536">
        <w:rPr>
          <w:rFonts w:ascii="Garamond" w:hAnsi="Garamond"/>
        </w:rPr>
        <w:t>Cell switch completion is indicated using a MAC CE by the UE to the target cell.</w:t>
      </w:r>
    </w:p>
    <w:p w14:paraId="1F2E95AD" w14:textId="77777777" w:rsidR="006C1536" w:rsidRPr="006C1536" w:rsidRDefault="006C1536" w:rsidP="006C1536">
      <w:pPr>
        <w:pStyle w:val="Proposal"/>
        <w:numPr>
          <w:ilvl w:val="0"/>
          <w:numId w:val="12"/>
        </w:numPr>
        <w:rPr>
          <w:rFonts w:ascii="Garamond" w:hAnsi="Garamond"/>
        </w:rPr>
      </w:pPr>
      <w:r w:rsidRPr="006C1536">
        <w:rPr>
          <w:rFonts w:ascii="Garamond" w:hAnsi="Garamond"/>
        </w:rPr>
        <w:t>RAN2 discuss PUSCH options (e.g., DG or CG) in the target cell to be used after the UE receives LTM.</w:t>
      </w:r>
    </w:p>
    <w:p w14:paraId="2E1EA051" w14:textId="2DA73D4A" w:rsidR="00CB0862" w:rsidRPr="00CB0862" w:rsidRDefault="00CB0862" w:rsidP="00CB0862">
      <w:pPr>
        <w:rPr>
          <w:rFonts w:ascii="Garamond" w:hAnsi="Garamond"/>
          <w:u w:val="single"/>
        </w:rPr>
      </w:pPr>
      <w:r w:rsidRPr="00CB0862">
        <w:rPr>
          <w:rFonts w:ascii="Garamond" w:hAnsi="Garamond"/>
          <w:u w:val="single"/>
        </w:rPr>
        <w:t>Race condition:</w:t>
      </w:r>
    </w:p>
    <w:p w14:paraId="6A2C4B65" w14:textId="330174F7" w:rsidR="00686137" w:rsidRPr="00CB0862" w:rsidRDefault="00CB0862" w:rsidP="00CB0862">
      <w:pPr>
        <w:pStyle w:val="Proposal"/>
        <w:numPr>
          <w:ilvl w:val="0"/>
          <w:numId w:val="12"/>
        </w:numPr>
        <w:rPr>
          <w:rFonts w:ascii="Garamond" w:hAnsi="Garamond"/>
        </w:rPr>
      </w:pPr>
      <w:r w:rsidRPr="00CB0862">
        <w:rPr>
          <w:rFonts w:ascii="Garamond" w:hAnsi="Garamond"/>
        </w:rPr>
        <w:t>RAN2 should discuss how to deal with cases when the source DU</w:t>
      </w:r>
      <w:r w:rsidRPr="00CB0862">
        <w:rPr>
          <w:rFonts w:ascii="Garamond" w:hAnsi="Garamond"/>
          <w:lang w:val="en-US" w:eastAsia="en-US"/>
        </w:rPr>
        <w:t xml:space="preserve"> </w:t>
      </w:r>
      <w:r w:rsidRPr="00CB0862">
        <w:rPr>
          <w:rFonts w:ascii="Garamond" w:hAnsi="Garamond"/>
        </w:rPr>
        <w:t xml:space="preserve">is not aware of an Early TA acquisition/ value but otherwise </w:t>
      </w:r>
      <w:r w:rsidRPr="00CB0862">
        <w:rPr>
          <w:rFonts w:ascii="Garamond" w:hAnsi="Garamond"/>
          <w:lang w:val="en-US" w:eastAsia="en-US"/>
        </w:rPr>
        <w:t>a mobility decision</w:t>
      </w:r>
      <w:r w:rsidRPr="00CB0862">
        <w:rPr>
          <w:rFonts w:ascii="Garamond" w:hAnsi="Garamond"/>
        </w:rPr>
        <w:t xml:space="preserve"> based on L1/ L2 measurement report can be reached.</w:t>
      </w:r>
    </w:p>
    <w:p w14:paraId="6FEE8F4B" w14:textId="2DD709A5" w:rsidR="000E2258" w:rsidRPr="007022BC" w:rsidRDefault="000E2258" w:rsidP="000E225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lastRenderedPageBreak/>
        <w:t>References</w:t>
      </w:r>
    </w:p>
    <w:p w14:paraId="2F1B2366" w14:textId="3F29C943" w:rsidR="000E2258" w:rsidRDefault="000E2258" w:rsidP="00A662DC">
      <w:pPr>
        <w:rPr>
          <w:rFonts w:ascii="Garamond" w:hAnsi="Garamond"/>
          <w:b/>
          <w:bCs/>
          <w:sz w:val="18"/>
          <w:szCs w:val="18"/>
        </w:rPr>
      </w:pPr>
    </w:p>
    <w:p w14:paraId="600C490E" w14:textId="2A8ABA05" w:rsidR="003E4A18" w:rsidRPr="000E2258" w:rsidRDefault="000E2258" w:rsidP="00A662DC">
      <w:pPr>
        <w:rPr>
          <w:rFonts w:ascii="Garamond" w:hAnsi="Garamond"/>
          <w:sz w:val="18"/>
          <w:szCs w:val="18"/>
        </w:rPr>
      </w:pPr>
      <w:r w:rsidRPr="000E2258">
        <w:rPr>
          <w:rFonts w:ascii="Garamond" w:hAnsi="Garamond"/>
          <w:sz w:val="18"/>
          <w:szCs w:val="18"/>
        </w:rPr>
        <w:t>[1]: R2-23</w:t>
      </w:r>
      <w:r w:rsidR="00013840">
        <w:rPr>
          <w:rFonts w:ascii="Garamond" w:hAnsi="Garamond"/>
          <w:sz w:val="18"/>
          <w:szCs w:val="18"/>
        </w:rPr>
        <w:t>00220</w:t>
      </w:r>
      <w:r w:rsidRPr="000E2258">
        <w:rPr>
          <w:rFonts w:ascii="Garamond" w:hAnsi="Garamond"/>
          <w:sz w:val="18"/>
          <w:szCs w:val="18"/>
        </w:rPr>
        <w:t xml:space="preserve"> LTM stage-2 design models</w:t>
      </w:r>
      <w:r w:rsidR="00D605DE">
        <w:rPr>
          <w:rFonts w:ascii="Garamond" w:hAnsi="Garamond"/>
          <w:sz w:val="18"/>
          <w:szCs w:val="18"/>
        </w:rPr>
        <w:tab/>
      </w:r>
      <w:r w:rsidRPr="000E2258">
        <w:rPr>
          <w:rFonts w:ascii="Garamond" w:hAnsi="Garamond"/>
          <w:sz w:val="18"/>
          <w:szCs w:val="18"/>
        </w:rPr>
        <w:t>Lenovo</w:t>
      </w:r>
    </w:p>
    <w:sectPr w:rsidR="003E4A18"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A419" w14:textId="77777777" w:rsidR="00F44984" w:rsidRDefault="00F44984" w:rsidP="00FC6453">
      <w:pPr>
        <w:spacing w:after="0" w:line="240" w:lineRule="auto"/>
      </w:pPr>
      <w:r>
        <w:separator/>
      </w:r>
    </w:p>
  </w:endnote>
  <w:endnote w:type="continuationSeparator" w:id="0">
    <w:p w14:paraId="152A4A73" w14:textId="77777777" w:rsidR="00F44984" w:rsidRDefault="00F44984"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7C34E" w14:textId="77777777" w:rsidR="00F44984" w:rsidRDefault="00F44984" w:rsidP="00FC6453">
      <w:pPr>
        <w:spacing w:after="0" w:line="240" w:lineRule="auto"/>
      </w:pPr>
      <w:r>
        <w:separator/>
      </w:r>
    </w:p>
  </w:footnote>
  <w:footnote w:type="continuationSeparator" w:id="0">
    <w:p w14:paraId="297B8DAF" w14:textId="77777777" w:rsidR="00F44984" w:rsidRDefault="00F44984" w:rsidP="00FC6453">
      <w:pPr>
        <w:spacing w:after="0" w:line="240" w:lineRule="auto"/>
      </w:pPr>
      <w:r>
        <w:continuationSeparator/>
      </w:r>
    </w:p>
  </w:footnote>
  <w:footnote w:id="1">
    <w:p w14:paraId="01A5197D" w14:textId="77777777" w:rsidR="0004505D" w:rsidRPr="0004505D" w:rsidRDefault="0004505D" w:rsidP="0004505D">
      <w:pPr>
        <w:pStyle w:val="FootnoteText"/>
      </w:pPr>
      <w:r>
        <w:rPr>
          <w:rStyle w:val="FootnoteReference"/>
        </w:rPr>
        <w:footnoteRef/>
      </w:r>
      <w:r>
        <w:t xml:space="preserve"> </w:t>
      </w:r>
      <w:r w:rsidRPr="0004505D">
        <w:t>From ASN.1 signalling perspective up t</w:t>
      </w:r>
      <w:r>
        <w:t xml:space="preserve">o 16000 cells under the same gNB is possible. </w:t>
      </w:r>
    </w:p>
  </w:footnote>
  <w:footnote w:id="2">
    <w:p w14:paraId="1CF2EC7D" w14:textId="53FF26FF" w:rsidR="00EF2C55" w:rsidRPr="00EF2C55" w:rsidRDefault="00EF2C55">
      <w:pPr>
        <w:pStyle w:val="FootnoteText"/>
      </w:pPr>
      <w:r>
        <w:rPr>
          <w:rStyle w:val="FootnoteReference"/>
        </w:rPr>
        <w:footnoteRef/>
      </w:r>
      <w:r>
        <w:t xml:space="preserve"> </w:t>
      </w:r>
      <w:r w:rsidR="003E3F5A">
        <w:t>A</w:t>
      </w:r>
      <w:r w:rsidR="00525FBF">
        <w:t xml:space="preserve">lternatively </w:t>
      </w:r>
      <w:r w:rsidRPr="00EF2C55">
        <w:t>B</w:t>
      </w:r>
      <w:r>
        <w:t xml:space="preserve">eam signalling (TCI state) for target cell </w:t>
      </w:r>
      <w:r w:rsidR="00525FBF">
        <w:t xml:space="preserve">is done </w:t>
      </w:r>
      <w:r>
        <w:t>in LTM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A77CBA"/>
    <w:multiLevelType w:val="hybridMultilevel"/>
    <w:tmpl w:val="5F96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30763A"/>
    <w:multiLevelType w:val="hybridMultilevel"/>
    <w:tmpl w:val="9DEA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num w:numId="1" w16cid:durableId="1327587736">
    <w:abstractNumId w:val="1"/>
  </w:num>
  <w:num w:numId="2" w16cid:durableId="1647931465">
    <w:abstractNumId w:val="4"/>
  </w:num>
  <w:num w:numId="3" w16cid:durableId="14693428">
    <w:abstractNumId w:val="6"/>
  </w:num>
  <w:num w:numId="4" w16cid:durableId="1516113577">
    <w:abstractNumId w:val="10"/>
  </w:num>
  <w:num w:numId="5" w16cid:durableId="1298679397">
    <w:abstractNumId w:val="3"/>
  </w:num>
  <w:num w:numId="6" w16cid:durableId="1529833889">
    <w:abstractNumId w:val="5"/>
  </w:num>
  <w:num w:numId="7" w16cid:durableId="446319874">
    <w:abstractNumId w:val="8"/>
  </w:num>
  <w:num w:numId="8" w16cid:durableId="321351574">
    <w:abstractNumId w:val="0"/>
  </w:num>
  <w:num w:numId="9" w16cid:durableId="791096385">
    <w:abstractNumId w:val="9"/>
  </w:num>
  <w:num w:numId="10" w16cid:durableId="1470173548">
    <w:abstractNumId w:val="7"/>
  </w:num>
  <w:num w:numId="11" w16cid:durableId="287275188">
    <w:abstractNumId w:val="2"/>
  </w:num>
  <w:num w:numId="12" w16cid:durableId="122846760">
    <w:abstractNumId w:val="4"/>
    <w:lvlOverride w:ilvl="0">
      <w:startOverride w:val="1"/>
    </w:lvlOverride>
  </w:num>
  <w:num w:numId="13" w16cid:durableId="201284771">
    <w:abstractNumId w:val="4"/>
  </w:num>
  <w:num w:numId="14" w16cid:durableId="1628662700">
    <w:abstractNumId w:val="4"/>
  </w:num>
  <w:num w:numId="15" w16cid:durableId="185692137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1E69"/>
    <w:rsid w:val="0000648A"/>
    <w:rsid w:val="00007DF2"/>
    <w:rsid w:val="0001114C"/>
    <w:rsid w:val="000132AB"/>
    <w:rsid w:val="00013840"/>
    <w:rsid w:val="00016B2C"/>
    <w:rsid w:val="000175BB"/>
    <w:rsid w:val="00027C7A"/>
    <w:rsid w:val="000316E0"/>
    <w:rsid w:val="00031999"/>
    <w:rsid w:val="000338BB"/>
    <w:rsid w:val="00035774"/>
    <w:rsid w:val="00037EC7"/>
    <w:rsid w:val="0004505D"/>
    <w:rsid w:val="00052297"/>
    <w:rsid w:val="000601F6"/>
    <w:rsid w:val="0006170C"/>
    <w:rsid w:val="000653C0"/>
    <w:rsid w:val="000711AF"/>
    <w:rsid w:val="00072F36"/>
    <w:rsid w:val="00075383"/>
    <w:rsid w:val="00080F2A"/>
    <w:rsid w:val="00081570"/>
    <w:rsid w:val="00082C7A"/>
    <w:rsid w:val="00084A01"/>
    <w:rsid w:val="00084F84"/>
    <w:rsid w:val="00090826"/>
    <w:rsid w:val="00094C5A"/>
    <w:rsid w:val="000A165E"/>
    <w:rsid w:val="000A2BB0"/>
    <w:rsid w:val="000A4C8B"/>
    <w:rsid w:val="000A6F76"/>
    <w:rsid w:val="000B3AE7"/>
    <w:rsid w:val="000B5090"/>
    <w:rsid w:val="000B7436"/>
    <w:rsid w:val="000C124B"/>
    <w:rsid w:val="000C20BA"/>
    <w:rsid w:val="000D6918"/>
    <w:rsid w:val="000E2258"/>
    <w:rsid w:val="000E38D0"/>
    <w:rsid w:val="000E4A50"/>
    <w:rsid w:val="000E6A78"/>
    <w:rsid w:val="000F31EF"/>
    <w:rsid w:val="00104D48"/>
    <w:rsid w:val="0011313A"/>
    <w:rsid w:val="00113BC6"/>
    <w:rsid w:val="00114197"/>
    <w:rsid w:val="001211AA"/>
    <w:rsid w:val="00122909"/>
    <w:rsid w:val="001243B1"/>
    <w:rsid w:val="00124CEF"/>
    <w:rsid w:val="00125688"/>
    <w:rsid w:val="00133BAB"/>
    <w:rsid w:val="001349C1"/>
    <w:rsid w:val="00135446"/>
    <w:rsid w:val="0013580E"/>
    <w:rsid w:val="00135D25"/>
    <w:rsid w:val="0014176E"/>
    <w:rsid w:val="0014437B"/>
    <w:rsid w:val="00155AAA"/>
    <w:rsid w:val="00156033"/>
    <w:rsid w:val="00160140"/>
    <w:rsid w:val="001611F1"/>
    <w:rsid w:val="00165DC3"/>
    <w:rsid w:val="001676A5"/>
    <w:rsid w:val="001716EA"/>
    <w:rsid w:val="0017228D"/>
    <w:rsid w:val="00172899"/>
    <w:rsid w:val="0017502D"/>
    <w:rsid w:val="00176E24"/>
    <w:rsid w:val="00180B0E"/>
    <w:rsid w:val="00182238"/>
    <w:rsid w:val="00182CD2"/>
    <w:rsid w:val="00186728"/>
    <w:rsid w:val="001878EC"/>
    <w:rsid w:val="001A065E"/>
    <w:rsid w:val="001A3916"/>
    <w:rsid w:val="001A547E"/>
    <w:rsid w:val="001A6BB3"/>
    <w:rsid w:val="001B219E"/>
    <w:rsid w:val="001B3499"/>
    <w:rsid w:val="001C2F13"/>
    <w:rsid w:val="001C317D"/>
    <w:rsid w:val="001C7368"/>
    <w:rsid w:val="001C791C"/>
    <w:rsid w:val="001C7BF0"/>
    <w:rsid w:val="001C7CC0"/>
    <w:rsid w:val="001D4572"/>
    <w:rsid w:val="001D584A"/>
    <w:rsid w:val="001E53FE"/>
    <w:rsid w:val="001E7CD5"/>
    <w:rsid w:val="001F1A9F"/>
    <w:rsid w:val="001F29F3"/>
    <w:rsid w:val="001F657F"/>
    <w:rsid w:val="002014B3"/>
    <w:rsid w:val="00201EAC"/>
    <w:rsid w:val="00206630"/>
    <w:rsid w:val="00207C74"/>
    <w:rsid w:val="0021010E"/>
    <w:rsid w:val="0021733E"/>
    <w:rsid w:val="00221509"/>
    <w:rsid w:val="00224828"/>
    <w:rsid w:val="002268C7"/>
    <w:rsid w:val="00231E44"/>
    <w:rsid w:val="002325AD"/>
    <w:rsid w:val="00233B00"/>
    <w:rsid w:val="0023735A"/>
    <w:rsid w:val="00237E9C"/>
    <w:rsid w:val="002406A8"/>
    <w:rsid w:val="00241C77"/>
    <w:rsid w:val="00241D01"/>
    <w:rsid w:val="00241F98"/>
    <w:rsid w:val="00245C60"/>
    <w:rsid w:val="0024657D"/>
    <w:rsid w:val="00247E40"/>
    <w:rsid w:val="00251244"/>
    <w:rsid w:val="00255647"/>
    <w:rsid w:val="00255DD3"/>
    <w:rsid w:val="0026239B"/>
    <w:rsid w:val="00263076"/>
    <w:rsid w:val="002676D2"/>
    <w:rsid w:val="0027067B"/>
    <w:rsid w:val="00276A24"/>
    <w:rsid w:val="00280E9E"/>
    <w:rsid w:val="002872A8"/>
    <w:rsid w:val="00292B4F"/>
    <w:rsid w:val="00293DAC"/>
    <w:rsid w:val="00294917"/>
    <w:rsid w:val="0029662A"/>
    <w:rsid w:val="00296A92"/>
    <w:rsid w:val="002A22C9"/>
    <w:rsid w:val="002A2ECD"/>
    <w:rsid w:val="002A55D9"/>
    <w:rsid w:val="002A6976"/>
    <w:rsid w:val="002B003A"/>
    <w:rsid w:val="002B4D71"/>
    <w:rsid w:val="002B5A3D"/>
    <w:rsid w:val="002B696D"/>
    <w:rsid w:val="002C1DFE"/>
    <w:rsid w:val="002C3D2D"/>
    <w:rsid w:val="002C7BE8"/>
    <w:rsid w:val="002D1DF2"/>
    <w:rsid w:val="002E1240"/>
    <w:rsid w:val="002E3235"/>
    <w:rsid w:val="002E3B6C"/>
    <w:rsid w:val="002E5577"/>
    <w:rsid w:val="002E5873"/>
    <w:rsid w:val="002F27C3"/>
    <w:rsid w:val="002F5A69"/>
    <w:rsid w:val="002F77FC"/>
    <w:rsid w:val="00305D41"/>
    <w:rsid w:val="00306A4E"/>
    <w:rsid w:val="003145C8"/>
    <w:rsid w:val="00321BD6"/>
    <w:rsid w:val="00324F3B"/>
    <w:rsid w:val="00330E58"/>
    <w:rsid w:val="00332AD8"/>
    <w:rsid w:val="003374AD"/>
    <w:rsid w:val="00346AB2"/>
    <w:rsid w:val="0035054D"/>
    <w:rsid w:val="00353336"/>
    <w:rsid w:val="00361B8B"/>
    <w:rsid w:val="003644B0"/>
    <w:rsid w:val="00376958"/>
    <w:rsid w:val="00377B24"/>
    <w:rsid w:val="00385134"/>
    <w:rsid w:val="00392CE3"/>
    <w:rsid w:val="00393691"/>
    <w:rsid w:val="003962E9"/>
    <w:rsid w:val="0039704D"/>
    <w:rsid w:val="003A32C1"/>
    <w:rsid w:val="003A422B"/>
    <w:rsid w:val="003A6C51"/>
    <w:rsid w:val="003C3D22"/>
    <w:rsid w:val="003C6344"/>
    <w:rsid w:val="003D09B9"/>
    <w:rsid w:val="003D1737"/>
    <w:rsid w:val="003D2B38"/>
    <w:rsid w:val="003E0030"/>
    <w:rsid w:val="003E06D5"/>
    <w:rsid w:val="003E1925"/>
    <w:rsid w:val="003E2B71"/>
    <w:rsid w:val="003E3C25"/>
    <w:rsid w:val="003E3F5A"/>
    <w:rsid w:val="003E4A18"/>
    <w:rsid w:val="003E6223"/>
    <w:rsid w:val="003F1678"/>
    <w:rsid w:val="003F1FB2"/>
    <w:rsid w:val="003F5536"/>
    <w:rsid w:val="004004ED"/>
    <w:rsid w:val="00402305"/>
    <w:rsid w:val="00402721"/>
    <w:rsid w:val="00410779"/>
    <w:rsid w:val="004129FB"/>
    <w:rsid w:val="00412CD0"/>
    <w:rsid w:val="00413775"/>
    <w:rsid w:val="004267E0"/>
    <w:rsid w:val="00430987"/>
    <w:rsid w:val="00431D11"/>
    <w:rsid w:val="00436ECE"/>
    <w:rsid w:val="004412D3"/>
    <w:rsid w:val="00443173"/>
    <w:rsid w:val="00452B28"/>
    <w:rsid w:val="00452D98"/>
    <w:rsid w:val="004537EC"/>
    <w:rsid w:val="00454CD4"/>
    <w:rsid w:val="00455538"/>
    <w:rsid w:val="00455F13"/>
    <w:rsid w:val="00466103"/>
    <w:rsid w:val="0047154B"/>
    <w:rsid w:val="00473823"/>
    <w:rsid w:val="00475DF5"/>
    <w:rsid w:val="00480AB5"/>
    <w:rsid w:val="00480B5A"/>
    <w:rsid w:val="00481055"/>
    <w:rsid w:val="00481CE7"/>
    <w:rsid w:val="00484DDA"/>
    <w:rsid w:val="00486034"/>
    <w:rsid w:val="0048627F"/>
    <w:rsid w:val="004877DB"/>
    <w:rsid w:val="004903CB"/>
    <w:rsid w:val="0049358A"/>
    <w:rsid w:val="00497DF4"/>
    <w:rsid w:val="00497F46"/>
    <w:rsid w:val="004A72C1"/>
    <w:rsid w:val="004B174C"/>
    <w:rsid w:val="004B4468"/>
    <w:rsid w:val="004B458E"/>
    <w:rsid w:val="004B7C91"/>
    <w:rsid w:val="004C2669"/>
    <w:rsid w:val="004C532C"/>
    <w:rsid w:val="004D1BB9"/>
    <w:rsid w:val="004D21B9"/>
    <w:rsid w:val="004D346B"/>
    <w:rsid w:val="004D45C8"/>
    <w:rsid w:val="004E2DF0"/>
    <w:rsid w:val="004E41EE"/>
    <w:rsid w:val="004E48F7"/>
    <w:rsid w:val="004E6C3E"/>
    <w:rsid w:val="004F14A0"/>
    <w:rsid w:val="004F367B"/>
    <w:rsid w:val="005037F8"/>
    <w:rsid w:val="00506CEF"/>
    <w:rsid w:val="00507030"/>
    <w:rsid w:val="0051361E"/>
    <w:rsid w:val="0051762B"/>
    <w:rsid w:val="00521BD3"/>
    <w:rsid w:val="00523D8B"/>
    <w:rsid w:val="00525FBF"/>
    <w:rsid w:val="00532307"/>
    <w:rsid w:val="005357E6"/>
    <w:rsid w:val="00540952"/>
    <w:rsid w:val="005409CE"/>
    <w:rsid w:val="00540E31"/>
    <w:rsid w:val="005417A6"/>
    <w:rsid w:val="005417D3"/>
    <w:rsid w:val="0054427E"/>
    <w:rsid w:val="005463EB"/>
    <w:rsid w:val="005464B8"/>
    <w:rsid w:val="00546610"/>
    <w:rsid w:val="0054781A"/>
    <w:rsid w:val="0055215E"/>
    <w:rsid w:val="00555CFF"/>
    <w:rsid w:val="00564FF2"/>
    <w:rsid w:val="0057200D"/>
    <w:rsid w:val="00574E91"/>
    <w:rsid w:val="005800D1"/>
    <w:rsid w:val="005836A3"/>
    <w:rsid w:val="005861DF"/>
    <w:rsid w:val="0059723F"/>
    <w:rsid w:val="005A7ADF"/>
    <w:rsid w:val="005B072C"/>
    <w:rsid w:val="005B22B1"/>
    <w:rsid w:val="005B2F31"/>
    <w:rsid w:val="005B7405"/>
    <w:rsid w:val="005B7C0E"/>
    <w:rsid w:val="005C21DB"/>
    <w:rsid w:val="005C311D"/>
    <w:rsid w:val="005E003D"/>
    <w:rsid w:val="005E09BE"/>
    <w:rsid w:val="005E4124"/>
    <w:rsid w:val="005F51BD"/>
    <w:rsid w:val="005F76F8"/>
    <w:rsid w:val="00605594"/>
    <w:rsid w:val="0060657D"/>
    <w:rsid w:val="00606E12"/>
    <w:rsid w:val="00607A1C"/>
    <w:rsid w:val="00607DE8"/>
    <w:rsid w:val="006101BA"/>
    <w:rsid w:val="0061405D"/>
    <w:rsid w:val="0061679A"/>
    <w:rsid w:val="00622BDB"/>
    <w:rsid w:val="00630420"/>
    <w:rsid w:val="006305A0"/>
    <w:rsid w:val="00630DF5"/>
    <w:rsid w:val="00647426"/>
    <w:rsid w:val="00654BEE"/>
    <w:rsid w:val="0065544D"/>
    <w:rsid w:val="00657CA7"/>
    <w:rsid w:val="00665C1E"/>
    <w:rsid w:val="00666848"/>
    <w:rsid w:val="00666D5E"/>
    <w:rsid w:val="00671B79"/>
    <w:rsid w:val="006741BA"/>
    <w:rsid w:val="00686137"/>
    <w:rsid w:val="00687224"/>
    <w:rsid w:val="0069176D"/>
    <w:rsid w:val="0069202C"/>
    <w:rsid w:val="00695FC8"/>
    <w:rsid w:val="0069755E"/>
    <w:rsid w:val="006A0224"/>
    <w:rsid w:val="006A448B"/>
    <w:rsid w:val="006B1AD8"/>
    <w:rsid w:val="006B2C55"/>
    <w:rsid w:val="006C1536"/>
    <w:rsid w:val="006C24AE"/>
    <w:rsid w:val="006C3868"/>
    <w:rsid w:val="006C5F71"/>
    <w:rsid w:val="006D0714"/>
    <w:rsid w:val="006D0F86"/>
    <w:rsid w:val="006D1347"/>
    <w:rsid w:val="006D293C"/>
    <w:rsid w:val="006D379B"/>
    <w:rsid w:val="006D3E93"/>
    <w:rsid w:val="006F43D9"/>
    <w:rsid w:val="006F57F6"/>
    <w:rsid w:val="006F5EEC"/>
    <w:rsid w:val="007009DC"/>
    <w:rsid w:val="00700BC8"/>
    <w:rsid w:val="00700C64"/>
    <w:rsid w:val="007022BC"/>
    <w:rsid w:val="007065D9"/>
    <w:rsid w:val="00710217"/>
    <w:rsid w:val="007123BA"/>
    <w:rsid w:val="007126C5"/>
    <w:rsid w:val="007129AD"/>
    <w:rsid w:val="007141D3"/>
    <w:rsid w:val="00730096"/>
    <w:rsid w:val="00731253"/>
    <w:rsid w:val="00731463"/>
    <w:rsid w:val="00733518"/>
    <w:rsid w:val="007402ED"/>
    <w:rsid w:val="00742E3F"/>
    <w:rsid w:val="0074618D"/>
    <w:rsid w:val="00746759"/>
    <w:rsid w:val="00746B52"/>
    <w:rsid w:val="00750D3F"/>
    <w:rsid w:val="00750FCF"/>
    <w:rsid w:val="007549E8"/>
    <w:rsid w:val="00760D69"/>
    <w:rsid w:val="00761D1B"/>
    <w:rsid w:val="007634DD"/>
    <w:rsid w:val="0076641C"/>
    <w:rsid w:val="00766611"/>
    <w:rsid w:val="007669F7"/>
    <w:rsid w:val="00770BE4"/>
    <w:rsid w:val="00771B6C"/>
    <w:rsid w:val="00776A56"/>
    <w:rsid w:val="007828DA"/>
    <w:rsid w:val="00783889"/>
    <w:rsid w:val="00784908"/>
    <w:rsid w:val="007873E2"/>
    <w:rsid w:val="00787D39"/>
    <w:rsid w:val="007903AE"/>
    <w:rsid w:val="00794482"/>
    <w:rsid w:val="007A4503"/>
    <w:rsid w:val="007A45FC"/>
    <w:rsid w:val="007B2269"/>
    <w:rsid w:val="007B326C"/>
    <w:rsid w:val="007B3F8E"/>
    <w:rsid w:val="007B41CA"/>
    <w:rsid w:val="007B6B92"/>
    <w:rsid w:val="007C4AB1"/>
    <w:rsid w:val="007C6053"/>
    <w:rsid w:val="007C7541"/>
    <w:rsid w:val="007D184E"/>
    <w:rsid w:val="007D2358"/>
    <w:rsid w:val="007D3A15"/>
    <w:rsid w:val="007E36D4"/>
    <w:rsid w:val="007E384C"/>
    <w:rsid w:val="007F0388"/>
    <w:rsid w:val="007F6CA4"/>
    <w:rsid w:val="00804570"/>
    <w:rsid w:val="00805D36"/>
    <w:rsid w:val="00806C58"/>
    <w:rsid w:val="00812A02"/>
    <w:rsid w:val="0082133D"/>
    <w:rsid w:val="00821D26"/>
    <w:rsid w:val="00834F0F"/>
    <w:rsid w:val="0084005A"/>
    <w:rsid w:val="00841BFB"/>
    <w:rsid w:val="0084583A"/>
    <w:rsid w:val="00850A43"/>
    <w:rsid w:val="008522EB"/>
    <w:rsid w:val="00854030"/>
    <w:rsid w:val="00863776"/>
    <w:rsid w:val="0086405A"/>
    <w:rsid w:val="00864147"/>
    <w:rsid w:val="0086599E"/>
    <w:rsid w:val="008666B6"/>
    <w:rsid w:val="008708F5"/>
    <w:rsid w:val="00875528"/>
    <w:rsid w:val="00875705"/>
    <w:rsid w:val="00884829"/>
    <w:rsid w:val="008904AD"/>
    <w:rsid w:val="008A1EEB"/>
    <w:rsid w:val="008A35EA"/>
    <w:rsid w:val="008A5BBF"/>
    <w:rsid w:val="008B5836"/>
    <w:rsid w:val="008B665C"/>
    <w:rsid w:val="008C188E"/>
    <w:rsid w:val="008C7136"/>
    <w:rsid w:val="008D068F"/>
    <w:rsid w:val="008D7872"/>
    <w:rsid w:val="008E14F7"/>
    <w:rsid w:val="008E1895"/>
    <w:rsid w:val="008E7A87"/>
    <w:rsid w:val="008F1DD5"/>
    <w:rsid w:val="008F2E6D"/>
    <w:rsid w:val="008F3702"/>
    <w:rsid w:val="008F45D3"/>
    <w:rsid w:val="008F7226"/>
    <w:rsid w:val="008F7661"/>
    <w:rsid w:val="008F799D"/>
    <w:rsid w:val="00900668"/>
    <w:rsid w:val="00902B3D"/>
    <w:rsid w:val="00904DF0"/>
    <w:rsid w:val="00911F6C"/>
    <w:rsid w:val="009246C1"/>
    <w:rsid w:val="00924CE4"/>
    <w:rsid w:val="00934F0E"/>
    <w:rsid w:val="00941707"/>
    <w:rsid w:val="00942490"/>
    <w:rsid w:val="009458EE"/>
    <w:rsid w:val="00945E90"/>
    <w:rsid w:val="00946559"/>
    <w:rsid w:val="00954990"/>
    <w:rsid w:val="00954FD5"/>
    <w:rsid w:val="0095696E"/>
    <w:rsid w:val="00960A79"/>
    <w:rsid w:val="00960B44"/>
    <w:rsid w:val="0096378B"/>
    <w:rsid w:val="009653CF"/>
    <w:rsid w:val="00973E83"/>
    <w:rsid w:val="00973E92"/>
    <w:rsid w:val="00973F26"/>
    <w:rsid w:val="009773A5"/>
    <w:rsid w:val="00980F19"/>
    <w:rsid w:val="009829CD"/>
    <w:rsid w:val="00983E2B"/>
    <w:rsid w:val="009856B8"/>
    <w:rsid w:val="009A20CB"/>
    <w:rsid w:val="009A267E"/>
    <w:rsid w:val="009A47C0"/>
    <w:rsid w:val="009B0E1E"/>
    <w:rsid w:val="009B3F8D"/>
    <w:rsid w:val="009B6915"/>
    <w:rsid w:val="009B7DC6"/>
    <w:rsid w:val="009C40EB"/>
    <w:rsid w:val="009D1821"/>
    <w:rsid w:val="009D37B4"/>
    <w:rsid w:val="009D4859"/>
    <w:rsid w:val="009E1EF8"/>
    <w:rsid w:val="009E3887"/>
    <w:rsid w:val="009F0497"/>
    <w:rsid w:val="009F1905"/>
    <w:rsid w:val="009F554A"/>
    <w:rsid w:val="009F692C"/>
    <w:rsid w:val="009F6F3F"/>
    <w:rsid w:val="00A002DF"/>
    <w:rsid w:val="00A022CC"/>
    <w:rsid w:val="00A031AF"/>
    <w:rsid w:val="00A03D7D"/>
    <w:rsid w:val="00A04BF8"/>
    <w:rsid w:val="00A06ABA"/>
    <w:rsid w:val="00A07924"/>
    <w:rsid w:val="00A13980"/>
    <w:rsid w:val="00A21180"/>
    <w:rsid w:val="00A25C10"/>
    <w:rsid w:val="00A310E1"/>
    <w:rsid w:val="00A31EC7"/>
    <w:rsid w:val="00A33918"/>
    <w:rsid w:val="00A359FD"/>
    <w:rsid w:val="00A36201"/>
    <w:rsid w:val="00A4033E"/>
    <w:rsid w:val="00A455D1"/>
    <w:rsid w:val="00A5012C"/>
    <w:rsid w:val="00A62E72"/>
    <w:rsid w:val="00A62F0D"/>
    <w:rsid w:val="00A662DC"/>
    <w:rsid w:val="00A71ABE"/>
    <w:rsid w:val="00A7299E"/>
    <w:rsid w:val="00A760D0"/>
    <w:rsid w:val="00A90ACD"/>
    <w:rsid w:val="00A92D82"/>
    <w:rsid w:val="00A948BC"/>
    <w:rsid w:val="00A96D5E"/>
    <w:rsid w:val="00A972B3"/>
    <w:rsid w:val="00AA72BF"/>
    <w:rsid w:val="00AC07F2"/>
    <w:rsid w:val="00AC1397"/>
    <w:rsid w:val="00AC4BE0"/>
    <w:rsid w:val="00AC4D21"/>
    <w:rsid w:val="00AC5B27"/>
    <w:rsid w:val="00AD04BB"/>
    <w:rsid w:val="00AD5884"/>
    <w:rsid w:val="00AD7C63"/>
    <w:rsid w:val="00AE0787"/>
    <w:rsid w:val="00AE1FF9"/>
    <w:rsid w:val="00AE6FD9"/>
    <w:rsid w:val="00AE74BE"/>
    <w:rsid w:val="00AE79A9"/>
    <w:rsid w:val="00AF2733"/>
    <w:rsid w:val="00AF6119"/>
    <w:rsid w:val="00B0207E"/>
    <w:rsid w:val="00B03158"/>
    <w:rsid w:val="00B0359E"/>
    <w:rsid w:val="00B06963"/>
    <w:rsid w:val="00B12BF3"/>
    <w:rsid w:val="00B13AA5"/>
    <w:rsid w:val="00B14A1C"/>
    <w:rsid w:val="00B2191F"/>
    <w:rsid w:val="00B22907"/>
    <w:rsid w:val="00B22EA4"/>
    <w:rsid w:val="00B23117"/>
    <w:rsid w:val="00B236FD"/>
    <w:rsid w:val="00B26B7E"/>
    <w:rsid w:val="00B2747B"/>
    <w:rsid w:val="00B32353"/>
    <w:rsid w:val="00B3555C"/>
    <w:rsid w:val="00B35AF2"/>
    <w:rsid w:val="00B37A3A"/>
    <w:rsid w:val="00B40D6D"/>
    <w:rsid w:val="00B464C2"/>
    <w:rsid w:val="00B47449"/>
    <w:rsid w:val="00B563DA"/>
    <w:rsid w:val="00B57445"/>
    <w:rsid w:val="00B57B8B"/>
    <w:rsid w:val="00B65898"/>
    <w:rsid w:val="00B81D64"/>
    <w:rsid w:val="00B83DF4"/>
    <w:rsid w:val="00B861D8"/>
    <w:rsid w:val="00B936CF"/>
    <w:rsid w:val="00BA2636"/>
    <w:rsid w:val="00BA2F77"/>
    <w:rsid w:val="00BA34CC"/>
    <w:rsid w:val="00BA3BF7"/>
    <w:rsid w:val="00BA3E4B"/>
    <w:rsid w:val="00BA7AFE"/>
    <w:rsid w:val="00BB186F"/>
    <w:rsid w:val="00BB1B16"/>
    <w:rsid w:val="00BB4A77"/>
    <w:rsid w:val="00BB7206"/>
    <w:rsid w:val="00BC0BBC"/>
    <w:rsid w:val="00BC52AC"/>
    <w:rsid w:val="00BD0078"/>
    <w:rsid w:val="00BD0119"/>
    <w:rsid w:val="00BD1BA2"/>
    <w:rsid w:val="00BD622F"/>
    <w:rsid w:val="00BE1C4F"/>
    <w:rsid w:val="00BE23F6"/>
    <w:rsid w:val="00BE3D82"/>
    <w:rsid w:val="00BE4038"/>
    <w:rsid w:val="00BF0ECE"/>
    <w:rsid w:val="00BF0EF3"/>
    <w:rsid w:val="00BF19A8"/>
    <w:rsid w:val="00BF1E35"/>
    <w:rsid w:val="00C03969"/>
    <w:rsid w:val="00C13809"/>
    <w:rsid w:val="00C1449E"/>
    <w:rsid w:val="00C15DAD"/>
    <w:rsid w:val="00C22B77"/>
    <w:rsid w:val="00C250FF"/>
    <w:rsid w:val="00C25320"/>
    <w:rsid w:val="00C313E4"/>
    <w:rsid w:val="00C321C3"/>
    <w:rsid w:val="00C416EA"/>
    <w:rsid w:val="00C44E79"/>
    <w:rsid w:val="00C47A75"/>
    <w:rsid w:val="00C50707"/>
    <w:rsid w:val="00C53394"/>
    <w:rsid w:val="00C561FC"/>
    <w:rsid w:val="00C56A2A"/>
    <w:rsid w:val="00C60EB3"/>
    <w:rsid w:val="00C61948"/>
    <w:rsid w:val="00C62093"/>
    <w:rsid w:val="00C62731"/>
    <w:rsid w:val="00C6410A"/>
    <w:rsid w:val="00C6537A"/>
    <w:rsid w:val="00C72854"/>
    <w:rsid w:val="00C77872"/>
    <w:rsid w:val="00C81562"/>
    <w:rsid w:val="00C82476"/>
    <w:rsid w:val="00C92DB8"/>
    <w:rsid w:val="00C935B6"/>
    <w:rsid w:val="00C94A04"/>
    <w:rsid w:val="00C9779C"/>
    <w:rsid w:val="00CA121A"/>
    <w:rsid w:val="00CA3317"/>
    <w:rsid w:val="00CA7032"/>
    <w:rsid w:val="00CA70AC"/>
    <w:rsid w:val="00CA7161"/>
    <w:rsid w:val="00CB0862"/>
    <w:rsid w:val="00CC6485"/>
    <w:rsid w:val="00CD287A"/>
    <w:rsid w:val="00CD4E42"/>
    <w:rsid w:val="00CD5974"/>
    <w:rsid w:val="00CD6A9C"/>
    <w:rsid w:val="00CE14BC"/>
    <w:rsid w:val="00CE28BC"/>
    <w:rsid w:val="00CE5392"/>
    <w:rsid w:val="00CE5633"/>
    <w:rsid w:val="00CE672E"/>
    <w:rsid w:val="00CE7E47"/>
    <w:rsid w:val="00D013E2"/>
    <w:rsid w:val="00D014BC"/>
    <w:rsid w:val="00D01524"/>
    <w:rsid w:val="00D03D47"/>
    <w:rsid w:val="00D0583E"/>
    <w:rsid w:val="00D06DAC"/>
    <w:rsid w:val="00D1274C"/>
    <w:rsid w:val="00D1282E"/>
    <w:rsid w:val="00D130AD"/>
    <w:rsid w:val="00D14770"/>
    <w:rsid w:val="00D220A4"/>
    <w:rsid w:val="00D26149"/>
    <w:rsid w:val="00D27132"/>
    <w:rsid w:val="00D32AEE"/>
    <w:rsid w:val="00D338C3"/>
    <w:rsid w:val="00D40CED"/>
    <w:rsid w:val="00D419F9"/>
    <w:rsid w:val="00D41CA6"/>
    <w:rsid w:val="00D44C4F"/>
    <w:rsid w:val="00D44FD0"/>
    <w:rsid w:val="00D46415"/>
    <w:rsid w:val="00D4685B"/>
    <w:rsid w:val="00D46CB0"/>
    <w:rsid w:val="00D47BDD"/>
    <w:rsid w:val="00D47D12"/>
    <w:rsid w:val="00D51412"/>
    <w:rsid w:val="00D52446"/>
    <w:rsid w:val="00D57A71"/>
    <w:rsid w:val="00D605DE"/>
    <w:rsid w:val="00D61B3E"/>
    <w:rsid w:val="00D700F9"/>
    <w:rsid w:val="00D76BD9"/>
    <w:rsid w:val="00D776AB"/>
    <w:rsid w:val="00D86440"/>
    <w:rsid w:val="00DA3B4B"/>
    <w:rsid w:val="00DA6BD7"/>
    <w:rsid w:val="00DB29B0"/>
    <w:rsid w:val="00DB4348"/>
    <w:rsid w:val="00DB5A04"/>
    <w:rsid w:val="00DB7631"/>
    <w:rsid w:val="00DB7AB5"/>
    <w:rsid w:val="00DC3921"/>
    <w:rsid w:val="00DC4C4A"/>
    <w:rsid w:val="00DC5C96"/>
    <w:rsid w:val="00DD2F3B"/>
    <w:rsid w:val="00DD3B00"/>
    <w:rsid w:val="00DE0B2B"/>
    <w:rsid w:val="00DE2F9C"/>
    <w:rsid w:val="00DE7223"/>
    <w:rsid w:val="00DF20A8"/>
    <w:rsid w:val="00DF248A"/>
    <w:rsid w:val="00DF2F12"/>
    <w:rsid w:val="00DF69EB"/>
    <w:rsid w:val="00DF7AB6"/>
    <w:rsid w:val="00E107F8"/>
    <w:rsid w:val="00E1255F"/>
    <w:rsid w:val="00E14101"/>
    <w:rsid w:val="00E1684C"/>
    <w:rsid w:val="00E16972"/>
    <w:rsid w:val="00E2544D"/>
    <w:rsid w:val="00E30F4C"/>
    <w:rsid w:val="00E310FB"/>
    <w:rsid w:val="00E377FE"/>
    <w:rsid w:val="00E403C3"/>
    <w:rsid w:val="00E40D97"/>
    <w:rsid w:val="00E414DA"/>
    <w:rsid w:val="00E4263F"/>
    <w:rsid w:val="00E51219"/>
    <w:rsid w:val="00E54F3D"/>
    <w:rsid w:val="00E56A83"/>
    <w:rsid w:val="00E57908"/>
    <w:rsid w:val="00E60E26"/>
    <w:rsid w:val="00E62A98"/>
    <w:rsid w:val="00E63EFE"/>
    <w:rsid w:val="00E654C7"/>
    <w:rsid w:val="00E714D9"/>
    <w:rsid w:val="00E735A9"/>
    <w:rsid w:val="00E738E1"/>
    <w:rsid w:val="00E73984"/>
    <w:rsid w:val="00E7442C"/>
    <w:rsid w:val="00E74D1F"/>
    <w:rsid w:val="00E75AC8"/>
    <w:rsid w:val="00E77E4A"/>
    <w:rsid w:val="00E85334"/>
    <w:rsid w:val="00E87350"/>
    <w:rsid w:val="00E926EA"/>
    <w:rsid w:val="00E938E5"/>
    <w:rsid w:val="00E94E0D"/>
    <w:rsid w:val="00E96247"/>
    <w:rsid w:val="00E96543"/>
    <w:rsid w:val="00E971B1"/>
    <w:rsid w:val="00EA7A3A"/>
    <w:rsid w:val="00EB0B5D"/>
    <w:rsid w:val="00EB2BDC"/>
    <w:rsid w:val="00EB3F2C"/>
    <w:rsid w:val="00EC2656"/>
    <w:rsid w:val="00EC6245"/>
    <w:rsid w:val="00EC7912"/>
    <w:rsid w:val="00EC7CC3"/>
    <w:rsid w:val="00ED13B1"/>
    <w:rsid w:val="00ED25DC"/>
    <w:rsid w:val="00ED3A29"/>
    <w:rsid w:val="00ED783C"/>
    <w:rsid w:val="00EE0164"/>
    <w:rsid w:val="00EE3388"/>
    <w:rsid w:val="00EE3AFA"/>
    <w:rsid w:val="00EF274B"/>
    <w:rsid w:val="00EF2C55"/>
    <w:rsid w:val="00F04EC8"/>
    <w:rsid w:val="00F06C38"/>
    <w:rsid w:val="00F15F98"/>
    <w:rsid w:val="00F1744C"/>
    <w:rsid w:val="00F2255F"/>
    <w:rsid w:val="00F24EE7"/>
    <w:rsid w:val="00F30019"/>
    <w:rsid w:val="00F30D57"/>
    <w:rsid w:val="00F31004"/>
    <w:rsid w:val="00F31028"/>
    <w:rsid w:val="00F31E3E"/>
    <w:rsid w:val="00F32AF9"/>
    <w:rsid w:val="00F33174"/>
    <w:rsid w:val="00F34D17"/>
    <w:rsid w:val="00F35A09"/>
    <w:rsid w:val="00F3640C"/>
    <w:rsid w:val="00F3695A"/>
    <w:rsid w:val="00F3795C"/>
    <w:rsid w:val="00F4462A"/>
    <w:rsid w:val="00F44984"/>
    <w:rsid w:val="00F5420F"/>
    <w:rsid w:val="00F60A3F"/>
    <w:rsid w:val="00F63793"/>
    <w:rsid w:val="00F6771A"/>
    <w:rsid w:val="00F7530D"/>
    <w:rsid w:val="00F85304"/>
    <w:rsid w:val="00F9300A"/>
    <w:rsid w:val="00F966AE"/>
    <w:rsid w:val="00FA1243"/>
    <w:rsid w:val="00FA3732"/>
    <w:rsid w:val="00FA511B"/>
    <w:rsid w:val="00FB2AD6"/>
    <w:rsid w:val="00FB4709"/>
    <w:rsid w:val="00FB6005"/>
    <w:rsid w:val="00FC4CD4"/>
    <w:rsid w:val="00FC6453"/>
    <w:rsid w:val="00FD2EE7"/>
    <w:rsid w:val="00FD523E"/>
    <w:rsid w:val="00FE1329"/>
    <w:rsid w:val="00FE1DCE"/>
    <w:rsid w:val="00FE4E65"/>
    <w:rsid w:val="00FF00BB"/>
    <w:rsid w:val="00FF261A"/>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styleId="Revision">
    <w:name w:val="Revision"/>
    <w:hidden/>
    <w:uiPriority w:val="99"/>
    <w:semiHidden/>
    <w:rsid w:val="009246C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721203566">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05527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10</Pages>
  <Words>2838</Words>
  <Characters>16182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89</cp:revision>
  <dcterms:created xsi:type="dcterms:W3CDTF">2023-02-13T09:30:00Z</dcterms:created>
  <dcterms:modified xsi:type="dcterms:W3CDTF">2023-02-16T14:50:00Z</dcterms:modified>
</cp:coreProperties>
</file>